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47D" w:rsidRDefault="000A147D" w:rsidP="000A147D">
      <w:pPr>
        <w:pStyle w:val="Standard"/>
        <w:widowControl/>
        <w:shd w:val="clear" w:color="auto" w:fill="FFFFFF"/>
        <w:spacing w:line="360" w:lineRule="auto"/>
        <w:jc w:val="right"/>
        <w:rPr>
          <w:rFonts w:ascii="Times New Roman" w:hAnsi="Times New Roman" w:cs="Times New Roman"/>
          <w:b/>
          <w:lang w:val="en-GB"/>
        </w:rPr>
      </w:pPr>
      <w:r>
        <w:rPr>
          <w:rFonts w:ascii="Times New Roman" w:hAnsi="Times New Roman" w:cs="Times New Roman"/>
          <w:b/>
          <w:lang w:val="en-GB"/>
        </w:rPr>
        <w:t>Annex VIII</w:t>
      </w:r>
    </w:p>
    <w:p w:rsidR="00600C3F" w:rsidRDefault="00600C3F" w:rsidP="00B135DC">
      <w:pPr>
        <w:pStyle w:val="Standard"/>
        <w:widowControl/>
        <w:shd w:val="clear" w:color="auto" w:fill="FFFFFF"/>
        <w:spacing w:line="360" w:lineRule="auto"/>
        <w:jc w:val="both"/>
        <w:rPr>
          <w:rFonts w:ascii="Times New Roman" w:hAnsi="Times New Roman" w:cs="Times New Roman"/>
          <w:b/>
          <w:lang w:val="en-GB"/>
        </w:rPr>
      </w:pPr>
    </w:p>
    <w:p w:rsidR="000A147D" w:rsidRDefault="000A147D" w:rsidP="00B135DC">
      <w:pPr>
        <w:pStyle w:val="Standard"/>
        <w:widowControl/>
        <w:shd w:val="clear" w:color="auto" w:fill="FFFFFF"/>
        <w:spacing w:line="360" w:lineRule="auto"/>
        <w:jc w:val="both"/>
        <w:rPr>
          <w:rFonts w:ascii="Times New Roman" w:hAnsi="Times New Roman" w:cs="Times New Roman"/>
          <w:b/>
          <w:lang w:val="en-GB"/>
        </w:rPr>
      </w:pPr>
      <w:r w:rsidRPr="000A147D">
        <w:rPr>
          <w:rFonts w:ascii="Times New Roman" w:hAnsi="Times New Roman" w:cs="Times New Roman"/>
          <w:b/>
          <w:lang w:val="en-GB"/>
        </w:rPr>
        <w:t>MEASURES TAKEN TO IMPROVE THE SPECIAL EDUCATION NEEDS SECTOR</w:t>
      </w:r>
    </w:p>
    <w:p w:rsidR="000A147D" w:rsidRPr="000A147D" w:rsidRDefault="000A147D" w:rsidP="00B135DC">
      <w:pPr>
        <w:pStyle w:val="Standard"/>
        <w:widowControl/>
        <w:shd w:val="clear" w:color="auto" w:fill="FFFFFF"/>
        <w:spacing w:line="360" w:lineRule="auto"/>
        <w:jc w:val="both"/>
        <w:rPr>
          <w:rFonts w:ascii="Times New Roman" w:hAnsi="Times New Roman" w:cs="Times New Roman"/>
          <w:b/>
          <w:lang w:val="en-GB"/>
        </w:rPr>
      </w:pPr>
    </w:p>
    <w:p w:rsidR="00B135DC" w:rsidRPr="005B0A37" w:rsidRDefault="000A147D" w:rsidP="00B135DC">
      <w:pPr>
        <w:pStyle w:val="Standard"/>
        <w:widowControl/>
        <w:shd w:val="clear" w:color="auto" w:fill="FFFFFF"/>
        <w:spacing w:line="360" w:lineRule="auto"/>
        <w:jc w:val="both"/>
        <w:rPr>
          <w:rFonts w:ascii="Times New Roman" w:hAnsi="Times New Roman" w:cs="Times New Roman"/>
          <w:lang w:val="en-GB"/>
        </w:rPr>
      </w:pPr>
      <w:r>
        <w:rPr>
          <w:rFonts w:ascii="Times New Roman" w:hAnsi="Times New Roman" w:cs="Times New Roman"/>
          <w:lang w:val="en-GB"/>
        </w:rPr>
        <w:t>A</w:t>
      </w:r>
      <w:r w:rsidR="00B135DC" w:rsidRPr="005B0A37">
        <w:rPr>
          <w:rFonts w:ascii="Times New Roman" w:hAnsi="Times New Roman" w:cs="Times New Roman"/>
          <w:lang w:val="en-GB"/>
        </w:rPr>
        <w:t xml:space="preserve"> number of measures have been taken by the Government to improve the </w:t>
      </w:r>
      <w:r w:rsidR="00B135DC" w:rsidRPr="005B0A37">
        <w:rPr>
          <w:rFonts w:ascii="Times New Roman" w:hAnsi="Times New Roman" w:cs="Times New Roman"/>
          <w:bCs/>
          <w:lang w:val="en-GB"/>
        </w:rPr>
        <w:t>Special Education Needs sector. They are as follows:</w:t>
      </w:r>
    </w:p>
    <w:p w:rsidR="00B135DC" w:rsidRPr="0046532F" w:rsidRDefault="00B135DC" w:rsidP="00B135DC">
      <w:pPr>
        <w:tabs>
          <w:tab w:val="left" w:pos="270"/>
        </w:tabs>
        <w:autoSpaceDE w:val="0"/>
        <w:autoSpaceDN w:val="0"/>
        <w:adjustRightInd w:val="0"/>
        <w:spacing w:line="360" w:lineRule="auto"/>
        <w:jc w:val="both"/>
        <w:rPr>
          <w:rFonts w:cs="Times New Roman"/>
          <w:bCs/>
          <w:lang w:val="en-GB"/>
        </w:rPr>
      </w:pPr>
    </w:p>
    <w:p w:rsidR="00B135DC" w:rsidRPr="0046532F" w:rsidRDefault="00B135DC" w:rsidP="00B135DC">
      <w:pPr>
        <w:pStyle w:val="ListParagraph"/>
        <w:numPr>
          <w:ilvl w:val="0"/>
          <w:numId w:val="3"/>
        </w:numPr>
        <w:tabs>
          <w:tab w:val="left" w:pos="270"/>
        </w:tabs>
        <w:autoSpaceDE w:val="0"/>
        <w:autoSpaceDN w:val="0"/>
        <w:adjustRightInd w:val="0"/>
        <w:spacing w:line="360" w:lineRule="auto"/>
        <w:jc w:val="both"/>
        <w:rPr>
          <w:i/>
          <w:lang w:val="en-GB"/>
        </w:rPr>
      </w:pPr>
      <w:r w:rsidRPr="0046532F">
        <w:rPr>
          <w:i/>
          <w:lang w:val="en-GB"/>
        </w:rPr>
        <w:t>Grant-in-Aid</w:t>
      </w:r>
    </w:p>
    <w:p w:rsidR="00B135DC" w:rsidRPr="0046532F" w:rsidRDefault="00B135DC" w:rsidP="00B135DC">
      <w:pPr>
        <w:pStyle w:val="ListParagraph"/>
        <w:tabs>
          <w:tab w:val="left" w:pos="270"/>
        </w:tabs>
        <w:autoSpaceDE w:val="0"/>
        <w:autoSpaceDN w:val="0"/>
        <w:adjustRightInd w:val="0"/>
        <w:spacing w:line="360" w:lineRule="auto"/>
        <w:jc w:val="both"/>
        <w:rPr>
          <w:lang w:val="en-GB"/>
        </w:rPr>
      </w:pPr>
    </w:p>
    <w:p w:rsidR="00B135DC" w:rsidRPr="0046532F" w:rsidRDefault="00B135DC" w:rsidP="00B135DC">
      <w:pPr>
        <w:tabs>
          <w:tab w:val="left" w:pos="270"/>
        </w:tabs>
        <w:spacing w:line="360" w:lineRule="auto"/>
        <w:jc w:val="both"/>
        <w:rPr>
          <w:rFonts w:cs="Times New Roman"/>
          <w:lang w:val="en-GB"/>
        </w:rPr>
      </w:pPr>
      <w:r w:rsidRPr="0046532F">
        <w:rPr>
          <w:rFonts w:cs="Times New Roman"/>
          <w:lang w:val="en-GB"/>
        </w:rPr>
        <w:t xml:space="preserve">All NGOs running SEN schools registered with the </w:t>
      </w:r>
      <w:r w:rsidRPr="0046532F">
        <w:rPr>
          <w:rFonts w:cs="Times New Roman"/>
          <w:bCs/>
          <w:lang w:val="en-GB"/>
        </w:rPr>
        <w:t>Ministry of Education</w:t>
      </w:r>
      <w:r w:rsidRPr="0046532F">
        <w:rPr>
          <w:rFonts w:cs="Times New Roman"/>
          <w:bCs/>
        </w:rPr>
        <w:t>, Tertiary Education, Science and Technology</w:t>
      </w:r>
      <w:r w:rsidRPr="0046532F">
        <w:rPr>
          <w:rFonts w:cs="Times New Roman"/>
          <w:lang w:val="en-GB"/>
        </w:rPr>
        <w:t xml:space="preserve">are allocated a Grant-in-Aid (GIA) as financial support to carry out their educational activities. There are at present 53 NGOs running SEN Schools. The GIA caters for the salaries of the manager, teachers, assistant teachers, carers, a handy worker and a driver and specialised support services (Psychologists, Occupational Therapists and Speech Therapists). It also provides a per capita grant and other items such as teaching aids and utilities, and furniture and equipment. </w:t>
      </w:r>
    </w:p>
    <w:p w:rsidR="00B135DC" w:rsidRPr="0046532F" w:rsidRDefault="00B135DC" w:rsidP="00B135DC">
      <w:pPr>
        <w:tabs>
          <w:tab w:val="left" w:pos="270"/>
        </w:tabs>
        <w:spacing w:line="360" w:lineRule="auto"/>
        <w:jc w:val="both"/>
        <w:rPr>
          <w:rFonts w:cs="Times New Roman"/>
          <w:lang w:val="en-GB"/>
        </w:rPr>
      </w:pPr>
    </w:p>
    <w:p w:rsidR="00B135DC" w:rsidRPr="0046532F" w:rsidRDefault="00B135DC" w:rsidP="00B135DC">
      <w:pPr>
        <w:pStyle w:val="ListParagraph"/>
        <w:numPr>
          <w:ilvl w:val="0"/>
          <w:numId w:val="3"/>
        </w:numPr>
        <w:spacing w:line="360" w:lineRule="auto"/>
        <w:jc w:val="both"/>
        <w:rPr>
          <w:i/>
          <w:lang w:val="en-GB"/>
        </w:rPr>
      </w:pPr>
      <w:r w:rsidRPr="0046532F">
        <w:rPr>
          <w:i/>
          <w:lang w:val="en-GB"/>
        </w:rPr>
        <w:t>Outreach Exercise</w:t>
      </w:r>
    </w:p>
    <w:p w:rsidR="00B135DC" w:rsidRPr="0046532F" w:rsidRDefault="00B135DC" w:rsidP="00B135DC">
      <w:pPr>
        <w:pStyle w:val="ListParagraph"/>
        <w:spacing w:line="360" w:lineRule="auto"/>
        <w:jc w:val="both"/>
        <w:rPr>
          <w:lang w:val="en-GB"/>
        </w:rPr>
      </w:pPr>
    </w:p>
    <w:p w:rsidR="00B135DC" w:rsidRPr="0046532F" w:rsidRDefault="00B135DC" w:rsidP="00B135DC">
      <w:pPr>
        <w:pStyle w:val="ListParagraph"/>
        <w:tabs>
          <w:tab w:val="left" w:pos="270"/>
          <w:tab w:val="left" w:pos="720"/>
        </w:tabs>
        <w:spacing w:after="240" w:line="360" w:lineRule="auto"/>
        <w:ind w:left="0"/>
        <w:jc w:val="both"/>
        <w:rPr>
          <w:lang w:val="en-GB"/>
        </w:rPr>
      </w:pPr>
      <w:r w:rsidRPr="0046532F">
        <w:rPr>
          <w:lang w:val="en-GB"/>
        </w:rPr>
        <w:t xml:space="preserve">The </w:t>
      </w:r>
      <w:r w:rsidRPr="0046532F">
        <w:rPr>
          <w:bCs/>
          <w:lang w:val="en-GB"/>
        </w:rPr>
        <w:t>Ministry of Education</w:t>
      </w:r>
      <w:r w:rsidRPr="0046532F">
        <w:rPr>
          <w:bCs/>
          <w:lang w:val="en-ZA"/>
        </w:rPr>
        <w:t xml:space="preserve">, Tertiary Education, Science and Technology </w:t>
      </w:r>
      <w:r w:rsidRPr="0046532F">
        <w:rPr>
          <w:lang w:val="en-GB"/>
        </w:rPr>
        <w:t>initiated an outreach exercise for the registration of SEN children with effect from 2010. In the first year only 6 children were registered. Over the years, the number of children has kept on increasing and for 2019, it stood at 80.  As far as possible, children with disabilities are encouraged to join the mainstream schools for inclusive education.</w:t>
      </w:r>
    </w:p>
    <w:p w:rsidR="00B135DC" w:rsidRPr="0046532F" w:rsidRDefault="00B135DC" w:rsidP="00B135DC">
      <w:pPr>
        <w:pStyle w:val="ListParagraph"/>
        <w:numPr>
          <w:ilvl w:val="0"/>
          <w:numId w:val="3"/>
        </w:numPr>
        <w:tabs>
          <w:tab w:val="left" w:pos="270"/>
        </w:tabs>
        <w:spacing w:line="360" w:lineRule="auto"/>
        <w:jc w:val="both"/>
        <w:rPr>
          <w:i/>
          <w:lang w:val="en-GB"/>
        </w:rPr>
      </w:pPr>
      <w:r w:rsidRPr="0046532F">
        <w:rPr>
          <w:i/>
          <w:lang w:val="en-GB"/>
        </w:rPr>
        <w:t>Integrated Units</w:t>
      </w:r>
    </w:p>
    <w:p w:rsidR="00B135DC" w:rsidRPr="0046532F" w:rsidRDefault="00B135DC" w:rsidP="00B135DC">
      <w:pPr>
        <w:pStyle w:val="ListParagraph"/>
        <w:tabs>
          <w:tab w:val="left" w:pos="270"/>
        </w:tabs>
        <w:spacing w:line="360" w:lineRule="auto"/>
        <w:jc w:val="both"/>
        <w:rPr>
          <w:lang w:val="en-GB"/>
        </w:rPr>
      </w:pPr>
    </w:p>
    <w:p w:rsidR="00B135DC" w:rsidRDefault="00B135DC" w:rsidP="00B135DC">
      <w:pPr>
        <w:pStyle w:val="ListParagraph"/>
        <w:tabs>
          <w:tab w:val="left" w:pos="270"/>
          <w:tab w:val="left" w:pos="720"/>
        </w:tabs>
        <w:spacing w:after="240" w:line="360" w:lineRule="auto"/>
        <w:ind w:left="0"/>
        <w:jc w:val="both"/>
        <w:rPr>
          <w:lang w:val="en-GB"/>
        </w:rPr>
      </w:pPr>
      <w:r w:rsidRPr="0046532F">
        <w:rPr>
          <w:lang w:val="en-GB"/>
        </w:rPr>
        <w:t xml:space="preserve">With a view to further promoting inclusive education, the </w:t>
      </w:r>
      <w:r w:rsidRPr="0046532F">
        <w:rPr>
          <w:bCs/>
          <w:lang w:val="en-GB"/>
        </w:rPr>
        <w:t>Ministry of Education</w:t>
      </w:r>
      <w:r w:rsidRPr="0046532F">
        <w:rPr>
          <w:bCs/>
          <w:lang w:val="en-ZA"/>
        </w:rPr>
        <w:t xml:space="preserve">, Tertiary Education, Science and Technology </w:t>
      </w:r>
      <w:r w:rsidRPr="0046532F">
        <w:rPr>
          <w:lang w:val="en-GB"/>
        </w:rPr>
        <w:t>has set up 11 Integrated Units (IU) in mainstream primary schools around the island with a view to reaching out to SEN children who usually have to travel long distances to go to SEN schools.</w:t>
      </w:r>
    </w:p>
    <w:p w:rsidR="00600C3F" w:rsidRDefault="00600C3F" w:rsidP="00B135DC">
      <w:pPr>
        <w:pStyle w:val="ListParagraph"/>
        <w:tabs>
          <w:tab w:val="left" w:pos="270"/>
          <w:tab w:val="left" w:pos="720"/>
        </w:tabs>
        <w:spacing w:after="240" w:line="360" w:lineRule="auto"/>
        <w:ind w:left="0"/>
        <w:jc w:val="both"/>
        <w:rPr>
          <w:lang w:val="en-GB"/>
        </w:rPr>
      </w:pPr>
      <w:bookmarkStart w:id="0" w:name="_GoBack"/>
      <w:bookmarkEnd w:id="0"/>
    </w:p>
    <w:p w:rsidR="00600C3F" w:rsidRPr="0046532F" w:rsidRDefault="00600C3F" w:rsidP="00B135DC">
      <w:pPr>
        <w:pStyle w:val="ListParagraph"/>
        <w:tabs>
          <w:tab w:val="left" w:pos="270"/>
          <w:tab w:val="left" w:pos="720"/>
        </w:tabs>
        <w:spacing w:after="240" w:line="360" w:lineRule="auto"/>
        <w:ind w:left="0"/>
        <w:jc w:val="both"/>
        <w:rPr>
          <w:lang w:val="en-GB"/>
        </w:rPr>
      </w:pPr>
    </w:p>
    <w:p w:rsidR="00B135DC" w:rsidRPr="0046532F" w:rsidRDefault="00B135DC" w:rsidP="00B135DC">
      <w:pPr>
        <w:pStyle w:val="ListParagraph"/>
        <w:numPr>
          <w:ilvl w:val="0"/>
          <w:numId w:val="3"/>
        </w:numPr>
        <w:tabs>
          <w:tab w:val="left" w:pos="270"/>
          <w:tab w:val="left" w:pos="360"/>
          <w:tab w:val="left" w:pos="1080"/>
        </w:tabs>
        <w:spacing w:line="360" w:lineRule="auto"/>
        <w:jc w:val="both"/>
        <w:rPr>
          <w:i/>
          <w:lang w:val="en-GB"/>
        </w:rPr>
      </w:pPr>
      <w:r w:rsidRPr="0046532F">
        <w:rPr>
          <w:i/>
          <w:lang w:val="en-GB"/>
        </w:rPr>
        <w:lastRenderedPageBreak/>
        <w:t>SEN Resource &amp; Development Centres (SENRDCs)</w:t>
      </w:r>
    </w:p>
    <w:p w:rsidR="00B135DC" w:rsidRPr="0046532F" w:rsidRDefault="00B135DC" w:rsidP="00B135DC">
      <w:pPr>
        <w:pStyle w:val="ListParagraph"/>
        <w:tabs>
          <w:tab w:val="left" w:pos="270"/>
          <w:tab w:val="left" w:pos="360"/>
          <w:tab w:val="left" w:pos="1080"/>
        </w:tabs>
        <w:spacing w:line="360" w:lineRule="auto"/>
        <w:jc w:val="both"/>
        <w:rPr>
          <w:lang w:val="en-GB"/>
        </w:rPr>
      </w:pPr>
    </w:p>
    <w:p w:rsidR="00B135DC" w:rsidRPr="0046532F" w:rsidRDefault="00B135DC" w:rsidP="00B135DC">
      <w:pPr>
        <w:spacing w:line="360" w:lineRule="auto"/>
        <w:jc w:val="both"/>
        <w:rPr>
          <w:rFonts w:cs="Times New Roman"/>
          <w:lang w:val="en-GB"/>
        </w:rPr>
      </w:pPr>
      <w:r w:rsidRPr="0046532F">
        <w:rPr>
          <w:rFonts w:cs="Times New Roman"/>
          <w:lang w:val="en-GB"/>
        </w:rPr>
        <w:t>The SENRDCs operate as a One-Stop-Shop to provide specialised services, such as those of psychologists, occupational therapists and physiotherapists to learners with special needs. All these SENRDCs have at least two classrooms for learners with severe disabilities. The SENRDCs have specialised equipment including equipment for Multi-Sensory rooms, as well as specialised furniture. Seven SENRDCs are operational around the island and seven vans are presently servicing the Centres for the conveyance of children attending the Centres and for therapy purposes.</w:t>
      </w:r>
    </w:p>
    <w:p w:rsidR="00B135DC" w:rsidRPr="0046532F" w:rsidRDefault="00B135DC" w:rsidP="00B135DC">
      <w:pPr>
        <w:spacing w:line="360" w:lineRule="auto"/>
        <w:jc w:val="both"/>
        <w:rPr>
          <w:rFonts w:cs="Times New Roman"/>
          <w:lang w:val="en-GB"/>
        </w:rPr>
      </w:pPr>
    </w:p>
    <w:p w:rsidR="00B135DC" w:rsidRPr="0046532F" w:rsidRDefault="00B135DC" w:rsidP="00B135DC">
      <w:pPr>
        <w:pStyle w:val="ListParagraph"/>
        <w:numPr>
          <w:ilvl w:val="0"/>
          <w:numId w:val="3"/>
        </w:numPr>
        <w:tabs>
          <w:tab w:val="left" w:pos="270"/>
        </w:tabs>
        <w:spacing w:after="240" w:line="360" w:lineRule="auto"/>
        <w:jc w:val="both"/>
        <w:rPr>
          <w:i/>
          <w:lang w:val="en-GB"/>
        </w:rPr>
      </w:pPr>
      <w:r w:rsidRPr="0046532F">
        <w:rPr>
          <w:i/>
          <w:lang w:val="en-GB"/>
        </w:rPr>
        <w:t>Barrier-Free Access</w:t>
      </w:r>
    </w:p>
    <w:p w:rsidR="00B135DC" w:rsidRPr="0046532F" w:rsidRDefault="00B135DC" w:rsidP="00B135DC">
      <w:pPr>
        <w:pStyle w:val="ListParagraph"/>
        <w:tabs>
          <w:tab w:val="left" w:pos="270"/>
        </w:tabs>
        <w:spacing w:after="240" w:line="360" w:lineRule="auto"/>
        <w:ind w:left="0"/>
        <w:jc w:val="both"/>
        <w:rPr>
          <w:b/>
          <w:lang w:val="en-GB"/>
        </w:rPr>
      </w:pPr>
      <w:r w:rsidRPr="0046532F">
        <w:rPr>
          <w:lang w:val="en-GB"/>
        </w:rPr>
        <w:t xml:space="preserve">In a bid to provide a barrier-free access to education for students with disabilities, the </w:t>
      </w:r>
      <w:r w:rsidRPr="0046532F">
        <w:rPr>
          <w:bCs/>
          <w:lang w:val="en-GB"/>
        </w:rPr>
        <w:t>Ministry of Education</w:t>
      </w:r>
      <w:r w:rsidRPr="0046532F">
        <w:rPr>
          <w:bCs/>
          <w:lang w:val="en-ZA"/>
        </w:rPr>
        <w:t xml:space="preserve">, Tertiary Education, Science and Technology </w:t>
      </w:r>
      <w:r w:rsidRPr="0046532F">
        <w:rPr>
          <w:lang w:val="en-GB"/>
        </w:rPr>
        <w:t>has in recent years taken a series of measures, which are outlined below:</w:t>
      </w:r>
    </w:p>
    <w:p w:rsidR="00B135DC" w:rsidRPr="0046532F" w:rsidRDefault="00B135DC" w:rsidP="00B135DC">
      <w:pPr>
        <w:pStyle w:val="SingleTxtG"/>
        <w:numPr>
          <w:ilvl w:val="0"/>
          <w:numId w:val="1"/>
        </w:numPr>
        <w:spacing w:after="0" w:line="360" w:lineRule="auto"/>
        <w:ind w:right="0"/>
        <w:rPr>
          <w:sz w:val="24"/>
          <w:szCs w:val="24"/>
        </w:rPr>
      </w:pPr>
      <w:r w:rsidRPr="0046532F">
        <w:rPr>
          <w:sz w:val="24"/>
          <w:szCs w:val="24"/>
        </w:rPr>
        <w:t>schools are being retrofitted with ramps to facilitate access to the classrooms;</w:t>
      </w:r>
    </w:p>
    <w:p w:rsidR="00B135DC" w:rsidRPr="0046532F" w:rsidRDefault="00B135DC" w:rsidP="00B135DC">
      <w:pPr>
        <w:pStyle w:val="NoSpacing"/>
        <w:numPr>
          <w:ilvl w:val="0"/>
          <w:numId w:val="1"/>
        </w:numPr>
        <w:spacing w:line="360" w:lineRule="auto"/>
        <w:jc w:val="both"/>
        <w:rPr>
          <w:rFonts w:ascii="Times New Roman" w:hAnsi="Times New Roman" w:cs="Times New Roman"/>
          <w:sz w:val="24"/>
          <w:szCs w:val="24"/>
          <w:lang w:val="en-GB"/>
        </w:rPr>
      </w:pPr>
      <w:r w:rsidRPr="0046532F">
        <w:rPr>
          <w:rFonts w:ascii="Times New Roman" w:hAnsi="Times New Roman" w:cs="Times New Roman"/>
          <w:sz w:val="24"/>
          <w:szCs w:val="24"/>
          <w:lang w:val="en-GB"/>
        </w:rPr>
        <w:t>for the years 2017/2018 and 2018/2019, 32 schools have been made disability-friendly;</w:t>
      </w:r>
    </w:p>
    <w:p w:rsidR="00B135DC" w:rsidRPr="0046532F" w:rsidRDefault="00B135DC" w:rsidP="00B135DC">
      <w:pPr>
        <w:pStyle w:val="SingleTxtG"/>
        <w:numPr>
          <w:ilvl w:val="0"/>
          <w:numId w:val="1"/>
        </w:numPr>
        <w:spacing w:after="0" w:line="360" w:lineRule="auto"/>
        <w:ind w:right="0"/>
        <w:rPr>
          <w:sz w:val="24"/>
          <w:szCs w:val="24"/>
        </w:rPr>
      </w:pPr>
      <w:r w:rsidRPr="0046532F">
        <w:rPr>
          <w:sz w:val="24"/>
          <w:szCs w:val="24"/>
        </w:rPr>
        <w:t>all new secondary schools have been equipped with adapted toilets for the disabled;</w:t>
      </w:r>
    </w:p>
    <w:p w:rsidR="00B135DC" w:rsidRPr="0046532F" w:rsidRDefault="00B135DC" w:rsidP="00B135DC">
      <w:pPr>
        <w:pStyle w:val="SingleTxtG"/>
        <w:numPr>
          <w:ilvl w:val="0"/>
          <w:numId w:val="1"/>
        </w:numPr>
        <w:spacing w:after="0" w:line="360" w:lineRule="auto"/>
        <w:ind w:right="0"/>
        <w:rPr>
          <w:sz w:val="24"/>
          <w:szCs w:val="24"/>
        </w:rPr>
      </w:pPr>
      <w:r w:rsidRPr="0046532F">
        <w:rPr>
          <w:sz w:val="24"/>
          <w:szCs w:val="24"/>
        </w:rPr>
        <w:t>covered links between building blocks have been made to facilitate access to specialised rooms for children in wheelchairs;</w:t>
      </w:r>
    </w:p>
    <w:p w:rsidR="00B135DC" w:rsidRPr="0046532F" w:rsidRDefault="00B135DC" w:rsidP="00B135DC">
      <w:pPr>
        <w:pStyle w:val="SingleTxtG"/>
        <w:numPr>
          <w:ilvl w:val="0"/>
          <w:numId w:val="1"/>
        </w:numPr>
        <w:spacing w:after="0" w:line="360" w:lineRule="auto"/>
        <w:ind w:right="0"/>
        <w:rPr>
          <w:sz w:val="24"/>
          <w:szCs w:val="24"/>
        </w:rPr>
      </w:pPr>
      <w:r w:rsidRPr="0046532F">
        <w:rPr>
          <w:sz w:val="24"/>
          <w:szCs w:val="24"/>
        </w:rPr>
        <w:t>facilities like music room, library, science laboratory, computer room are available on the ground floor where necessary. In primary schools, head masters usually make arrangements to move the whole class to the ground floor wherever necessary;</w:t>
      </w:r>
    </w:p>
    <w:p w:rsidR="00B135DC" w:rsidRPr="0046532F" w:rsidRDefault="00B135DC" w:rsidP="00B135DC">
      <w:pPr>
        <w:numPr>
          <w:ilvl w:val="0"/>
          <w:numId w:val="1"/>
        </w:numPr>
        <w:tabs>
          <w:tab w:val="left" w:pos="270"/>
        </w:tabs>
        <w:spacing w:line="360" w:lineRule="auto"/>
        <w:jc w:val="both"/>
        <w:rPr>
          <w:rFonts w:cs="Times New Roman"/>
          <w:lang w:val="en-GB"/>
        </w:rPr>
      </w:pPr>
      <w:r w:rsidRPr="0046532F">
        <w:rPr>
          <w:rFonts w:cs="Times New Roman"/>
          <w:lang w:val="en-GB"/>
        </w:rPr>
        <w:t>students with disabilities are released earlier than other students as a matter of convenience;</w:t>
      </w:r>
    </w:p>
    <w:p w:rsidR="00B135DC" w:rsidRPr="0046532F" w:rsidRDefault="00B135DC" w:rsidP="00B135DC">
      <w:pPr>
        <w:numPr>
          <w:ilvl w:val="0"/>
          <w:numId w:val="1"/>
        </w:numPr>
        <w:tabs>
          <w:tab w:val="left" w:pos="270"/>
        </w:tabs>
        <w:spacing w:line="360" w:lineRule="auto"/>
        <w:jc w:val="both"/>
        <w:rPr>
          <w:rFonts w:cs="Times New Roman"/>
          <w:lang w:val="en-GB"/>
        </w:rPr>
      </w:pPr>
      <w:r w:rsidRPr="0046532F">
        <w:rPr>
          <w:rFonts w:cs="Times New Roman"/>
          <w:lang w:val="en-GB"/>
        </w:rPr>
        <w:t xml:space="preserve">carers have been provided in mainstream primary and secondary schools to help students with special education needs. </w:t>
      </w:r>
    </w:p>
    <w:p w:rsidR="00B135DC" w:rsidRPr="0046532F" w:rsidRDefault="00B135DC" w:rsidP="00B135DC">
      <w:pPr>
        <w:numPr>
          <w:ilvl w:val="0"/>
          <w:numId w:val="1"/>
        </w:numPr>
        <w:tabs>
          <w:tab w:val="left" w:pos="270"/>
        </w:tabs>
        <w:spacing w:line="360" w:lineRule="auto"/>
        <w:jc w:val="both"/>
        <w:rPr>
          <w:rFonts w:cs="Times New Roman"/>
          <w:lang w:val="en-GB"/>
        </w:rPr>
      </w:pPr>
      <w:r w:rsidRPr="0046532F">
        <w:rPr>
          <w:rFonts w:cs="Times New Roman"/>
          <w:lang w:val="en-GB"/>
        </w:rPr>
        <w:t>the same facilities are available in private grant-aided secondary schools to enable children with disabilities to move around the school compound and participate actively in academic activities; and</w:t>
      </w:r>
    </w:p>
    <w:p w:rsidR="00B135DC" w:rsidRDefault="00B135DC" w:rsidP="00B135DC">
      <w:pPr>
        <w:numPr>
          <w:ilvl w:val="0"/>
          <w:numId w:val="1"/>
        </w:numPr>
        <w:tabs>
          <w:tab w:val="left" w:pos="270"/>
        </w:tabs>
        <w:spacing w:line="360" w:lineRule="auto"/>
        <w:jc w:val="both"/>
        <w:rPr>
          <w:rFonts w:cs="Times New Roman"/>
          <w:lang w:val="en-GB"/>
        </w:rPr>
      </w:pPr>
      <w:r w:rsidRPr="0046532F">
        <w:rPr>
          <w:rFonts w:cs="Times New Roman"/>
          <w:lang w:val="en-GB"/>
        </w:rPr>
        <w:t xml:space="preserve">as from the year 2016/2017, five students with special education needs are offered each year a scholarship to pursue Post-Secondary/Tertiary courses. They are also benefitting from a stipend of </w:t>
      </w:r>
      <w:proofErr w:type="spellStart"/>
      <w:r w:rsidRPr="0046532F">
        <w:rPr>
          <w:rFonts w:cs="Times New Roman"/>
          <w:lang w:val="en-GB"/>
        </w:rPr>
        <w:t>Rs</w:t>
      </w:r>
      <w:proofErr w:type="spellEnd"/>
      <w:r w:rsidRPr="0046532F">
        <w:rPr>
          <w:rFonts w:cs="Times New Roman"/>
          <w:lang w:val="en-GB"/>
        </w:rPr>
        <w:t xml:space="preserve"> 5,000(USD 125) monthly. </w:t>
      </w:r>
    </w:p>
    <w:p w:rsidR="00B135DC" w:rsidRDefault="00B135DC" w:rsidP="00B135DC">
      <w:pPr>
        <w:tabs>
          <w:tab w:val="left" w:pos="270"/>
        </w:tabs>
        <w:spacing w:line="360" w:lineRule="auto"/>
        <w:jc w:val="both"/>
        <w:rPr>
          <w:rFonts w:cs="Times New Roman"/>
          <w:lang w:val="en-GB"/>
        </w:rPr>
      </w:pPr>
    </w:p>
    <w:p w:rsidR="00B135DC" w:rsidRPr="0046532F" w:rsidRDefault="00B135DC" w:rsidP="00B135DC">
      <w:pPr>
        <w:tabs>
          <w:tab w:val="left" w:pos="270"/>
        </w:tabs>
        <w:spacing w:line="360" w:lineRule="auto"/>
        <w:jc w:val="both"/>
        <w:rPr>
          <w:rFonts w:cs="Times New Roman"/>
          <w:lang w:val="en-GB"/>
        </w:rPr>
      </w:pPr>
      <w:r w:rsidRPr="0046532F">
        <w:rPr>
          <w:rFonts w:cs="Times New Roman"/>
          <w:lang w:val="en-GB"/>
        </w:rPr>
        <w:t>The following table shows the details of the scholarships awarded from academic year 2016/2017 to 2019/2020:</w:t>
      </w:r>
    </w:p>
    <w:p w:rsidR="00B135DC" w:rsidRPr="00DB3F96" w:rsidRDefault="00B135DC" w:rsidP="00B135DC">
      <w:pPr>
        <w:tabs>
          <w:tab w:val="left" w:pos="270"/>
        </w:tabs>
        <w:spacing w:line="360" w:lineRule="auto"/>
        <w:ind w:left="720"/>
        <w:jc w:val="both"/>
        <w:rPr>
          <w:rFonts w:cs="Times New Roman"/>
          <w:lang w:val="en-GB"/>
        </w:rPr>
      </w:pPr>
    </w:p>
    <w:tbl>
      <w:tblPr>
        <w:tblStyle w:val="TableGrid"/>
        <w:tblW w:w="0" w:type="auto"/>
        <w:tblInd w:w="477" w:type="dxa"/>
        <w:tblLook w:val="04A0" w:firstRow="1" w:lastRow="0" w:firstColumn="1" w:lastColumn="0" w:noHBand="0" w:noVBand="1"/>
      </w:tblPr>
      <w:tblGrid>
        <w:gridCol w:w="2053"/>
        <w:gridCol w:w="2898"/>
        <w:gridCol w:w="1818"/>
        <w:gridCol w:w="1770"/>
      </w:tblGrid>
      <w:tr w:rsidR="00B135DC" w:rsidRPr="0046532F" w:rsidTr="00212547">
        <w:trPr>
          <w:trHeight w:val="548"/>
        </w:trPr>
        <w:tc>
          <w:tcPr>
            <w:tcW w:w="2108" w:type="dxa"/>
          </w:tcPr>
          <w:p w:rsidR="00B135DC" w:rsidRPr="0046532F" w:rsidRDefault="00B135DC" w:rsidP="00212547">
            <w:pPr>
              <w:tabs>
                <w:tab w:val="left" w:pos="270"/>
              </w:tabs>
              <w:spacing w:line="360" w:lineRule="auto"/>
              <w:jc w:val="center"/>
              <w:rPr>
                <w:rFonts w:cs="Times New Roman"/>
                <w:b/>
                <w:lang w:val="en-GB"/>
              </w:rPr>
            </w:pPr>
            <w:r w:rsidRPr="0046532F">
              <w:rPr>
                <w:rFonts w:cs="Times New Roman"/>
                <w:b/>
                <w:lang w:val="en-GB"/>
              </w:rPr>
              <w:t>Academic Year</w:t>
            </w:r>
          </w:p>
        </w:tc>
        <w:tc>
          <w:tcPr>
            <w:tcW w:w="3013" w:type="dxa"/>
          </w:tcPr>
          <w:p w:rsidR="00B135DC" w:rsidRPr="0046532F" w:rsidRDefault="00B135DC" w:rsidP="00212547">
            <w:pPr>
              <w:tabs>
                <w:tab w:val="left" w:pos="270"/>
              </w:tabs>
              <w:spacing w:line="360" w:lineRule="auto"/>
              <w:jc w:val="center"/>
              <w:rPr>
                <w:rFonts w:cs="Times New Roman"/>
                <w:b/>
                <w:lang w:val="en-GB"/>
              </w:rPr>
            </w:pPr>
            <w:r w:rsidRPr="0046532F">
              <w:rPr>
                <w:rFonts w:cs="Times New Roman"/>
                <w:b/>
                <w:lang w:val="en-GB"/>
              </w:rPr>
              <w:t>Number of Awardees</w:t>
            </w:r>
          </w:p>
        </w:tc>
        <w:tc>
          <w:tcPr>
            <w:tcW w:w="1890" w:type="dxa"/>
          </w:tcPr>
          <w:p w:rsidR="00B135DC" w:rsidRPr="0046532F" w:rsidRDefault="00B135DC" w:rsidP="00212547">
            <w:pPr>
              <w:tabs>
                <w:tab w:val="left" w:pos="270"/>
              </w:tabs>
              <w:spacing w:line="360" w:lineRule="auto"/>
              <w:jc w:val="center"/>
              <w:rPr>
                <w:rFonts w:cs="Times New Roman"/>
                <w:b/>
                <w:lang w:val="en-GB"/>
              </w:rPr>
            </w:pPr>
            <w:r w:rsidRPr="0046532F">
              <w:rPr>
                <w:rFonts w:cs="Times New Roman"/>
                <w:b/>
                <w:lang w:val="en-GB"/>
              </w:rPr>
              <w:t>On-going</w:t>
            </w:r>
          </w:p>
        </w:tc>
        <w:tc>
          <w:tcPr>
            <w:tcW w:w="1800" w:type="dxa"/>
          </w:tcPr>
          <w:p w:rsidR="00B135DC" w:rsidRPr="0046532F" w:rsidRDefault="00B135DC" w:rsidP="00212547">
            <w:pPr>
              <w:tabs>
                <w:tab w:val="left" w:pos="270"/>
              </w:tabs>
              <w:spacing w:line="360" w:lineRule="auto"/>
              <w:jc w:val="center"/>
              <w:rPr>
                <w:rFonts w:cs="Times New Roman"/>
                <w:b/>
                <w:lang w:val="en-GB"/>
              </w:rPr>
            </w:pPr>
            <w:r w:rsidRPr="0046532F">
              <w:rPr>
                <w:rFonts w:cs="Times New Roman"/>
                <w:b/>
                <w:lang w:val="en-GB"/>
              </w:rPr>
              <w:t>Completed</w:t>
            </w:r>
          </w:p>
        </w:tc>
      </w:tr>
      <w:tr w:rsidR="00B135DC" w:rsidRPr="0046532F" w:rsidTr="00212547">
        <w:trPr>
          <w:trHeight w:val="466"/>
        </w:trPr>
        <w:tc>
          <w:tcPr>
            <w:tcW w:w="2108" w:type="dxa"/>
          </w:tcPr>
          <w:p w:rsidR="00B135DC" w:rsidRPr="0046532F" w:rsidRDefault="00B135DC" w:rsidP="00212547">
            <w:pPr>
              <w:tabs>
                <w:tab w:val="left" w:pos="270"/>
              </w:tabs>
              <w:jc w:val="center"/>
              <w:rPr>
                <w:rFonts w:cs="Times New Roman"/>
                <w:lang w:val="en-GB"/>
              </w:rPr>
            </w:pPr>
            <w:r w:rsidRPr="0046532F">
              <w:rPr>
                <w:rFonts w:cs="Times New Roman"/>
                <w:lang w:val="en-GB"/>
              </w:rPr>
              <w:t>2016/2017</w:t>
            </w:r>
          </w:p>
        </w:tc>
        <w:tc>
          <w:tcPr>
            <w:tcW w:w="3013" w:type="dxa"/>
          </w:tcPr>
          <w:p w:rsidR="00B135DC" w:rsidRPr="0046532F" w:rsidRDefault="00B135DC" w:rsidP="00212547">
            <w:pPr>
              <w:tabs>
                <w:tab w:val="left" w:pos="270"/>
              </w:tabs>
              <w:jc w:val="center"/>
              <w:rPr>
                <w:rFonts w:cs="Times New Roman"/>
                <w:lang w:val="en-GB"/>
              </w:rPr>
            </w:pPr>
            <w:r w:rsidRPr="0046532F">
              <w:rPr>
                <w:rFonts w:cs="Times New Roman"/>
                <w:lang w:val="en-GB"/>
              </w:rPr>
              <w:t>5</w:t>
            </w:r>
          </w:p>
          <w:p w:rsidR="00B135DC" w:rsidRPr="0046532F" w:rsidRDefault="00B135DC" w:rsidP="00212547">
            <w:pPr>
              <w:tabs>
                <w:tab w:val="left" w:pos="270"/>
              </w:tabs>
              <w:jc w:val="center"/>
              <w:rPr>
                <w:rFonts w:cs="Times New Roman"/>
                <w:lang w:val="en-GB"/>
              </w:rPr>
            </w:pPr>
            <w:r w:rsidRPr="0046532F">
              <w:rPr>
                <w:rFonts w:cs="Times New Roman"/>
                <w:lang w:val="en-GB"/>
              </w:rPr>
              <w:t>(3 boys and 2 girls)</w:t>
            </w:r>
          </w:p>
        </w:tc>
        <w:tc>
          <w:tcPr>
            <w:tcW w:w="1890" w:type="dxa"/>
          </w:tcPr>
          <w:p w:rsidR="00B135DC" w:rsidRPr="0046532F" w:rsidRDefault="00B135DC" w:rsidP="00212547">
            <w:pPr>
              <w:tabs>
                <w:tab w:val="left" w:pos="270"/>
              </w:tabs>
              <w:spacing w:line="360" w:lineRule="auto"/>
              <w:jc w:val="center"/>
              <w:rPr>
                <w:rFonts w:cs="Times New Roman"/>
                <w:lang w:val="en-GB"/>
              </w:rPr>
            </w:pPr>
            <w:r w:rsidRPr="0046532F">
              <w:rPr>
                <w:rFonts w:cs="Times New Roman"/>
                <w:lang w:val="en-GB"/>
              </w:rPr>
              <w:t>1</w:t>
            </w:r>
          </w:p>
        </w:tc>
        <w:tc>
          <w:tcPr>
            <w:tcW w:w="1800" w:type="dxa"/>
          </w:tcPr>
          <w:p w:rsidR="00B135DC" w:rsidRPr="0046532F" w:rsidRDefault="00B135DC" w:rsidP="00212547">
            <w:pPr>
              <w:tabs>
                <w:tab w:val="left" w:pos="270"/>
              </w:tabs>
              <w:spacing w:line="360" w:lineRule="auto"/>
              <w:jc w:val="center"/>
              <w:rPr>
                <w:rFonts w:cs="Times New Roman"/>
                <w:lang w:val="en-GB"/>
              </w:rPr>
            </w:pPr>
            <w:r w:rsidRPr="0046532F">
              <w:rPr>
                <w:rFonts w:cs="Times New Roman"/>
                <w:lang w:val="en-GB"/>
              </w:rPr>
              <w:t>4</w:t>
            </w:r>
          </w:p>
        </w:tc>
      </w:tr>
      <w:tr w:rsidR="00B135DC" w:rsidRPr="0046532F" w:rsidTr="00212547">
        <w:trPr>
          <w:trHeight w:val="566"/>
        </w:trPr>
        <w:tc>
          <w:tcPr>
            <w:tcW w:w="2108" w:type="dxa"/>
          </w:tcPr>
          <w:p w:rsidR="00B135DC" w:rsidRPr="0046532F" w:rsidRDefault="00B135DC" w:rsidP="00212547">
            <w:pPr>
              <w:tabs>
                <w:tab w:val="left" w:pos="270"/>
              </w:tabs>
              <w:jc w:val="center"/>
              <w:rPr>
                <w:rFonts w:cs="Times New Roman"/>
                <w:lang w:val="en-GB"/>
              </w:rPr>
            </w:pPr>
            <w:r w:rsidRPr="0046532F">
              <w:rPr>
                <w:rFonts w:cs="Times New Roman"/>
                <w:lang w:val="en-GB"/>
              </w:rPr>
              <w:t>2017/2018</w:t>
            </w:r>
          </w:p>
        </w:tc>
        <w:tc>
          <w:tcPr>
            <w:tcW w:w="3013" w:type="dxa"/>
          </w:tcPr>
          <w:p w:rsidR="00B135DC" w:rsidRPr="0046532F" w:rsidRDefault="00B135DC" w:rsidP="00212547">
            <w:pPr>
              <w:tabs>
                <w:tab w:val="left" w:pos="270"/>
              </w:tabs>
              <w:jc w:val="center"/>
              <w:rPr>
                <w:rFonts w:cs="Times New Roman"/>
                <w:lang w:val="en-GB"/>
              </w:rPr>
            </w:pPr>
            <w:r w:rsidRPr="0046532F">
              <w:rPr>
                <w:rFonts w:cs="Times New Roman"/>
                <w:lang w:val="en-GB"/>
              </w:rPr>
              <w:t>2</w:t>
            </w:r>
          </w:p>
          <w:p w:rsidR="00B135DC" w:rsidRPr="0046532F" w:rsidRDefault="00B135DC" w:rsidP="00212547">
            <w:pPr>
              <w:tabs>
                <w:tab w:val="left" w:pos="270"/>
              </w:tabs>
              <w:jc w:val="center"/>
              <w:rPr>
                <w:rFonts w:cs="Times New Roman"/>
                <w:lang w:val="en-GB"/>
              </w:rPr>
            </w:pPr>
            <w:r w:rsidRPr="0046532F">
              <w:rPr>
                <w:rFonts w:cs="Times New Roman"/>
                <w:lang w:val="en-GB"/>
              </w:rPr>
              <w:t>(1 boy and 1 girl)</w:t>
            </w:r>
          </w:p>
        </w:tc>
        <w:tc>
          <w:tcPr>
            <w:tcW w:w="1890" w:type="dxa"/>
          </w:tcPr>
          <w:p w:rsidR="00B135DC" w:rsidRPr="0046532F" w:rsidRDefault="00B135DC" w:rsidP="00212547">
            <w:pPr>
              <w:tabs>
                <w:tab w:val="left" w:pos="270"/>
              </w:tabs>
              <w:spacing w:line="360" w:lineRule="auto"/>
              <w:jc w:val="center"/>
              <w:rPr>
                <w:rFonts w:cs="Times New Roman"/>
                <w:lang w:val="en-GB"/>
              </w:rPr>
            </w:pPr>
            <w:r w:rsidRPr="0046532F">
              <w:rPr>
                <w:rFonts w:cs="Times New Roman"/>
                <w:lang w:val="en-GB"/>
              </w:rPr>
              <w:t>-</w:t>
            </w:r>
          </w:p>
        </w:tc>
        <w:tc>
          <w:tcPr>
            <w:tcW w:w="1800" w:type="dxa"/>
          </w:tcPr>
          <w:p w:rsidR="00B135DC" w:rsidRPr="0046532F" w:rsidRDefault="00B135DC" w:rsidP="00212547">
            <w:pPr>
              <w:tabs>
                <w:tab w:val="left" w:pos="270"/>
              </w:tabs>
              <w:spacing w:line="360" w:lineRule="auto"/>
              <w:jc w:val="center"/>
              <w:rPr>
                <w:rFonts w:cs="Times New Roman"/>
                <w:lang w:val="en-GB"/>
              </w:rPr>
            </w:pPr>
            <w:r w:rsidRPr="0046532F">
              <w:rPr>
                <w:rFonts w:cs="Times New Roman"/>
                <w:lang w:val="en-GB"/>
              </w:rPr>
              <w:t>2</w:t>
            </w:r>
          </w:p>
        </w:tc>
      </w:tr>
      <w:tr w:rsidR="00B135DC" w:rsidRPr="0046532F" w:rsidTr="00212547">
        <w:trPr>
          <w:trHeight w:val="445"/>
        </w:trPr>
        <w:tc>
          <w:tcPr>
            <w:tcW w:w="2108" w:type="dxa"/>
          </w:tcPr>
          <w:p w:rsidR="00B135DC" w:rsidRPr="0046532F" w:rsidRDefault="00B135DC" w:rsidP="00212547">
            <w:pPr>
              <w:tabs>
                <w:tab w:val="left" w:pos="270"/>
              </w:tabs>
              <w:jc w:val="center"/>
              <w:rPr>
                <w:rFonts w:cs="Times New Roman"/>
                <w:lang w:val="en-GB"/>
              </w:rPr>
            </w:pPr>
            <w:r w:rsidRPr="0046532F">
              <w:rPr>
                <w:rFonts w:cs="Times New Roman"/>
                <w:lang w:val="en-GB"/>
              </w:rPr>
              <w:t>2018/2019</w:t>
            </w:r>
          </w:p>
        </w:tc>
        <w:tc>
          <w:tcPr>
            <w:tcW w:w="3013" w:type="dxa"/>
          </w:tcPr>
          <w:p w:rsidR="00B135DC" w:rsidRPr="0046532F" w:rsidRDefault="00B135DC" w:rsidP="00212547">
            <w:pPr>
              <w:tabs>
                <w:tab w:val="left" w:pos="270"/>
              </w:tabs>
              <w:jc w:val="center"/>
              <w:rPr>
                <w:rFonts w:cs="Times New Roman"/>
                <w:lang w:val="en-GB"/>
              </w:rPr>
            </w:pPr>
            <w:r w:rsidRPr="0046532F">
              <w:rPr>
                <w:rFonts w:cs="Times New Roman"/>
                <w:lang w:val="en-GB"/>
              </w:rPr>
              <w:t>4</w:t>
            </w:r>
          </w:p>
          <w:p w:rsidR="00B135DC" w:rsidRPr="0046532F" w:rsidRDefault="00B135DC" w:rsidP="00212547">
            <w:pPr>
              <w:tabs>
                <w:tab w:val="left" w:pos="270"/>
              </w:tabs>
              <w:jc w:val="center"/>
              <w:rPr>
                <w:rFonts w:cs="Times New Roman"/>
                <w:lang w:val="en-GB"/>
              </w:rPr>
            </w:pPr>
            <w:r w:rsidRPr="0046532F">
              <w:rPr>
                <w:rFonts w:cs="Times New Roman"/>
                <w:lang w:val="en-GB"/>
              </w:rPr>
              <w:t>(1 boy and 3 girls)</w:t>
            </w:r>
          </w:p>
        </w:tc>
        <w:tc>
          <w:tcPr>
            <w:tcW w:w="1890" w:type="dxa"/>
          </w:tcPr>
          <w:p w:rsidR="00B135DC" w:rsidRPr="0046532F" w:rsidRDefault="00B135DC" w:rsidP="00212547">
            <w:pPr>
              <w:tabs>
                <w:tab w:val="left" w:pos="270"/>
              </w:tabs>
              <w:spacing w:line="360" w:lineRule="auto"/>
              <w:jc w:val="center"/>
              <w:rPr>
                <w:rFonts w:cs="Times New Roman"/>
                <w:lang w:val="en-GB"/>
              </w:rPr>
            </w:pPr>
            <w:r w:rsidRPr="0046532F">
              <w:rPr>
                <w:rFonts w:cs="Times New Roman"/>
                <w:lang w:val="en-GB"/>
              </w:rPr>
              <w:t>4</w:t>
            </w:r>
          </w:p>
        </w:tc>
        <w:tc>
          <w:tcPr>
            <w:tcW w:w="1800" w:type="dxa"/>
          </w:tcPr>
          <w:p w:rsidR="00B135DC" w:rsidRPr="0046532F" w:rsidRDefault="00B135DC" w:rsidP="00212547">
            <w:pPr>
              <w:tabs>
                <w:tab w:val="left" w:pos="270"/>
              </w:tabs>
              <w:spacing w:line="360" w:lineRule="auto"/>
              <w:jc w:val="center"/>
              <w:rPr>
                <w:rFonts w:cs="Times New Roman"/>
                <w:lang w:val="en-GB"/>
              </w:rPr>
            </w:pPr>
            <w:r w:rsidRPr="0046532F">
              <w:rPr>
                <w:rFonts w:cs="Times New Roman"/>
                <w:lang w:val="en-GB"/>
              </w:rPr>
              <w:t>-</w:t>
            </w:r>
          </w:p>
        </w:tc>
      </w:tr>
      <w:tr w:rsidR="00B135DC" w:rsidRPr="0046532F" w:rsidTr="00212547">
        <w:trPr>
          <w:trHeight w:val="445"/>
        </w:trPr>
        <w:tc>
          <w:tcPr>
            <w:tcW w:w="2108" w:type="dxa"/>
          </w:tcPr>
          <w:p w:rsidR="00B135DC" w:rsidRPr="0046532F" w:rsidRDefault="00B135DC" w:rsidP="00212547">
            <w:pPr>
              <w:tabs>
                <w:tab w:val="left" w:pos="270"/>
              </w:tabs>
              <w:jc w:val="center"/>
              <w:rPr>
                <w:rFonts w:cs="Times New Roman"/>
                <w:lang w:val="en-GB"/>
              </w:rPr>
            </w:pPr>
            <w:r w:rsidRPr="0046532F">
              <w:rPr>
                <w:rFonts w:cs="Times New Roman"/>
                <w:lang w:val="en-GB"/>
              </w:rPr>
              <w:t>2020/2021</w:t>
            </w:r>
          </w:p>
        </w:tc>
        <w:tc>
          <w:tcPr>
            <w:tcW w:w="3013" w:type="dxa"/>
          </w:tcPr>
          <w:p w:rsidR="00B135DC" w:rsidRPr="0046532F" w:rsidRDefault="00B135DC" w:rsidP="00212547">
            <w:pPr>
              <w:tabs>
                <w:tab w:val="left" w:pos="270"/>
              </w:tabs>
              <w:jc w:val="center"/>
              <w:rPr>
                <w:rFonts w:cs="Times New Roman"/>
                <w:lang w:val="en-GB"/>
              </w:rPr>
            </w:pPr>
            <w:r w:rsidRPr="0046532F">
              <w:rPr>
                <w:rFonts w:cs="Times New Roman"/>
                <w:lang w:val="en-GB"/>
              </w:rPr>
              <w:t>4</w:t>
            </w:r>
          </w:p>
          <w:p w:rsidR="00B135DC" w:rsidRPr="0046532F" w:rsidRDefault="00B135DC" w:rsidP="00212547">
            <w:pPr>
              <w:tabs>
                <w:tab w:val="left" w:pos="270"/>
              </w:tabs>
              <w:jc w:val="center"/>
              <w:rPr>
                <w:rFonts w:cs="Times New Roman"/>
                <w:lang w:val="en-GB"/>
              </w:rPr>
            </w:pPr>
            <w:r w:rsidRPr="0046532F">
              <w:rPr>
                <w:rFonts w:cs="Times New Roman"/>
                <w:lang w:val="en-GB"/>
              </w:rPr>
              <w:t>(1 boy and 3 girls)</w:t>
            </w:r>
          </w:p>
        </w:tc>
        <w:tc>
          <w:tcPr>
            <w:tcW w:w="1890" w:type="dxa"/>
          </w:tcPr>
          <w:p w:rsidR="00B135DC" w:rsidRPr="0046532F" w:rsidRDefault="00B135DC" w:rsidP="00212547">
            <w:pPr>
              <w:tabs>
                <w:tab w:val="left" w:pos="270"/>
              </w:tabs>
              <w:spacing w:line="360" w:lineRule="auto"/>
              <w:jc w:val="center"/>
              <w:rPr>
                <w:rFonts w:cs="Times New Roman"/>
                <w:lang w:val="en-GB"/>
              </w:rPr>
            </w:pPr>
            <w:r w:rsidRPr="0046532F">
              <w:rPr>
                <w:rFonts w:cs="Times New Roman"/>
                <w:lang w:val="en-GB"/>
              </w:rPr>
              <w:t>4</w:t>
            </w:r>
          </w:p>
        </w:tc>
        <w:tc>
          <w:tcPr>
            <w:tcW w:w="1800" w:type="dxa"/>
          </w:tcPr>
          <w:p w:rsidR="00B135DC" w:rsidRPr="0046532F" w:rsidRDefault="00B135DC" w:rsidP="00212547">
            <w:pPr>
              <w:tabs>
                <w:tab w:val="left" w:pos="270"/>
              </w:tabs>
              <w:spacing w:line="360" w:lineRule="auto"/>
              <w:jc w:val="center"/>
              <w:rPr>
                <w:rFonts w:cs="Times New Roman"/>
                <w:lang w:val="en-GB"/>
              </w:rPr>
            </w:pPr>
            <w:r w:rsidRPr="0046532F">
              <w:rPr>
                <w:rFonts w:cs="Times New Roman"/>
                <w:lang w:val="en-GB"/>
              </w:rPr>
              <w:t>-</w:t>
            </w:r>
          </w:p>
        </w:tc>
      </w:tr>
    </w:tbl>
    <w:p w:rsidR="00B135DC" w:rsidRPr="0046532F" w:rsidRDefault="00B135DC" w:rsidP="00B135DC">
      <w:pPr>
        <w:tabs>
          <w:tab w:val="left" w:pos="270"/>
        </w:tabs>
        <w:spacing w:line="360" w:lineRule="auto"/>
        <w:jc w:val="both"/>
        <w:rPr>
          <w:rFonts w:cs="Times New Roman"/>
          <w:lang w:val="en-GB"/>
        </w:rPr>
      </w:pPr>
    </w:p>
    <w:p w:rsidR="00B135DC" w:rsidRPr="0046532F" w:rsidRDefault="00B135DC" w:rsidP="00B135DC">
      <w:pPr>
        <w:tabs>
          <w:tab w:val="left" w:pos="270"/>
        </w:tabs>
        <w:spacing w:line="360" w:lineRule="auto"/>
        <w:jc w:val="both"/>
        <w:rPr>
          <w:rFonts w:cs="Times New Roman"/>
          <w:lang w:val="en-GB"/>
        </w:rPr>
      </w:pPr>
    </w:p>
    <w:p w:rsidR="00B135DC" w:rsidRPr="0046532F" w:rsidRDefault="00B135DC" w:rsidP="00B135DC">
      <w:pPr>
        <w:pStyle w:val="ListParagraph"/>
        <w:numPr>
          <w:ilvl w:val="0"/>
          <w:numId w:val="3"/>
        </w:numPr>
        <w:tabs>
          <w:tab w:val="left" w:pos="270"/>
        </w:tabs>
        <w:spacing w:line="360" w:lineRule="auto"/>
        <w:rPr>
          <w:i/>
          <w:lang w:val="en-GB"/>
        </w:rPr>
      </w:pPr>
      <w:r w:rsidRPr="0046532F">
        <w:rPr>
          <w:i/>
          <w:lang w:val="en-GB"/>
        </w:rPr>
        <w:t>Inclusion of SEN children in schools</w:t>
      </w:r>
    </w:p>
    <w:p w:rsidR="00B135DC" w:rsidRPr="0046532F" w:rsidRDefault="00B135DC" w:rsidP="00B135DC">
      <w:pPr>
        <w:pStyle w:val="ListParagraph"/>
        <w:tabs>
          <w:tab w:val="left" w:pos="270"/>
        </w:tabs>
        <w:spacing w:line="360" w:lineRule="auto"/>
        <w:rPr>
          <w:lang w:val="en-GB"/>
        </w:rPr>
      </w:pPr>
    </w:p>
    <w:p w:rsidR="00B135DC" w:rsidRPr="0046532F" w:rsidRDefault="00B135DC" w:rsidP="00B135DC">
      <w:pPr>
        <w:tabs>
          <w:tab w:val="left" w:pos="270"/>
        </w:tabs>
        <w:spacing w:line="360" w:lineRule="auto"/>
        <w:jc w:val="both"/>
        <w:rPr>
          <w:rFonts w:cs="Times New Roman"/>
          <w:lang w:val="en-GB"/>
        </w:rPr>
      </w:pPr>
      <w:r w:rsidRPr="0046532F">
        <w:rPr>
          <w:rFonts w:cs="Times New Roman"/>
          <w:lang w:val="en-GB"/>
        </w:rPr>
        <w:t xml:space="preserve">The </w:t>
      </w:r>
      <w:r w:rsidRPr="0046532F">
        <w:rPr>
          <w:rFonts w:cs="Times New Roman"/>
          <w:bCs/>
          <w:lang w:val="en-GB"/>
        </w:rPr>
        <w:t>Ministry of Education</w:t>
      </w:r>
      <w:r w:rsidRPr="0046532F">
        <w:rPr>
          <w:rFonts w:cs="Times New Roman"/>
          <w:bCs/>
        </w:rPr>
        <w:t xml:space="preserve">, Tertiary Education, Science and Technology </w:t>
      </w:r>
      <w:r w:rsidRPr="0046532F">
        <w:rPr>
          <w:rFonts w:cs="Times New Roman"/>
          <w:lang w:val="en-GB"/>
        </w:rPr>
        <w:t>has taken additional measures to promote inclusive primary and secondary education to students with disabilities:</w:t>
      </w:r>
    </w:p>
    <w:p w:rsidR="00B135DC" w:rsidRPr="0046532F" w:rsidRDefault="00B135DC" w:rsidP="00B135DC">
      <w:pPr>
        <w:tabs>
          <w:tab w:val="left" w:pos="270"/>
        </w:tabs>
        <w:spacing w:line="360" w:lineRule="auto"/>
        <w:jc w:val="both"/>
        <w:rPr>
          <w:rFonts w:cs="Times New Roman"/>
          <w:lang w:val="en-GB"/>
        </w:rPr>
      </w:pPr>
    </w:p>
    <w:p w:rsidR="00B135DC" w:rsidRPr="0046532F" w:rsidRDefault="00B135DC" w:rsidP="00B135DC">
      <w:pPr>
        <w:numPr>
          <w:ilvl w:val="0"/>
          <w:numId w:val="2"/>
        </w:numPr>
        <w:tabs>
          <w:tab w:val="left" w:pos="270"/>
        </w:tabs>
        <w:spacing w:line="360" w:lineRule="auto"/>
        <w:jc w:val="both"/>
        <w:rPr>
          <w:rFonts w:cs="Times New Roman"/>
          <w:lang w:val="en-GB"/>
        </w:rPr>
      </w:pPr>
      <w:r w:rsidRPr="0046532F">
        <w:rPr>
          <w:rFonts w:cs="Times New Roman"/>
          <w:lang w:val="en-GB"/>
        </w:rPr>
        <w:t>educators are encouraged to provide extra assistance to children with disabilities so as to allow them to keep pace with their classmates;</w:t>
      </w:r>
    </w:p>
    <w:p w:rsidR="00B135DC" w:rsidRPr="0046532F" w:rsidRDefault="00B135DC" w:rsidP="00B135DC">
      <w:pPr>
        <w:numPr>
          <w:ilvl w:val="0"/>
          <w:numId w:val="2"/>
        </w:numPr>
        <w:tabs>
          <w:tab w:val="left" w:pos="270"/>
        </w:tabs>
        <w:spacing w:line="360" w:lineRule="auto"/>
        <w:jc w:val="both"/>
        <w:rPr>
          <w:rFonts w:cs="Times New Roman"/>
          <w:lang w:val="en-GB"/>
        </w:rPr>
      </w:pPr>
      <w:r w:rsidRPr="0046532F">
        <w:rPr>
          <w:rFonts w:cs="Times New Roman"/>
          <w:lang w:val="en-GB"/>
        </w:rPr>
        <w:t>children with disabilities benefit from extra time for the Primary School Achievement Certificate</w:t>
      </w:r>
      <w:r>
        <w:rPr>
          <w:rFonts w:cs="Times New Roman"/>
          <w:lang w:val="en-GB"/>
        </w:rPr>
        <w:t xml:space="preserve"> </w:t>
      </w:r>
      <w:r w:rsidRPr="0046532F">
        <w:rPr>
          <w:rFonts w:cs="Times New Roman"/>
          <w:lang w:val="en-GB"/>
        </w:rPr>
        <w:t>(Grade 6) examination;</w:t>
      </w:r>
    </w:p>
    <w:p w:rsidR="00B135DC" w:rsidRPr="0046532F" w:rsidRDefault="00B135DC" w:rsidP="00B135DC">
      <w:pPr>
        <w:numPr>
          <w:ilvl w:val="0"/>
          <w:numId w:val="2"/>
        </w:numPr>
        <w:tabs>
          <w:tab w:val="left" w:pos="270"/>
        </w:tabs>
        <w:spacing w:line="360" w:lineRule="auto"/>
        <w:jc w:val="both"/>
        <w:rPr>
          <w:rFonts w:cs="Times New Roman"/>
          <w:lang w:val="en-GB"/>
        </w:rPr>
      </w:pPr>
      <w:r w:rsidRPr="0046532F">
        <w:rPr>
          <w:rFonts w:cs="Times New Roman"/>
          <w:lang w:val="en-GB"/>
        </w:rPr>
        <w:t>children with hearing impairment are provided</w:t>
      </w:r>
      <w:r>
        <w:rPr>
          <w:rFonts w:cs="Times New Roman"/>
          <w:lang w:val="en-GB"/>
        </w:rPr>
        <w:t xml:space="preserve"> with</w:t>
      </w:r>
      <w:r w:rsidRPr="0046532F">
        <w:rPr>
          <w:rFonts w:cs="Times New Roman"/>
          <w:lang w:val="en-GB"/>
        </w:rPr>
        <w:t xml:space="preserve"> specialised Teacher/Interpreters in the mainstream secondary schools with the active collaboration of NGOs and for the purpose of examinations;</w:t>
      </w:r>
    </w:p>
    <w:p w:rsidR="00B135DC" w:rsidRPr="0046532F" w:rsidRDefault="00B135DC" w:rsidP="00B135DC">
      <w:pPr>
        <w:numPr>
          <w:ilvl w:val="0"/>
          <w:numId w:val="2"/>
        </w:numPr>
        <w:tabs>
          <w:tab w:val="left" w:pos="270"/>
        </w:tabs>
        <w:spacing w:line="360" w:lineRule="auto"/>
        <w:jc w:val="both"/>
        <w:rPr>
          <w:rFonts w:cs="Times New Roman"/>
          <w:lang w:val="en-GB"/>
        </w:rPr>
      </w:pPr>
      <w:r w:rsidRPr="0046532F">
        <w:rPr>
          <w:rFonts w:cs="Times New Roman"/>
          <w:lang w:val="en-GB"/>
        </w:rPr>
        <w:t>enlarged print school books / manuals and question papers are provided to children with visual impairment; and</w:t>
      </w:r>
    </w:p>
    <w:p w:rsidR="00B135DC" w:rsidRPr="0046532F" w:rsidRDefault="00B135DC" w:rsidP="00B135DC">
      <w:pPr>
        <w:pStyle w:val="NoSpacing"/>
        <w:numPr>
          <w:ilvl w:val="0"/>
          <w:numId w:val="2"/>
        </w:numPr>
        <w:spacing w:line="360" w:lineRule="auto"/>
        <w:jc w:val="both"/>
        <w:rPr>
          <w:rFonts w:ascii="Times New Roman" w:hAnsi="Times New Roman" w:cs="Times New Roman"/>
          <w:sz w:val="24"/>
          <w:szCs w:val="24"/>
          <w:lang w:val="en-GB"/>
        </w:rPr>
      </w:pPr>
      <w:r w:rsidRPr="0046532F">
        <w:rPr>
          <w:rFonts w:ascii="Times New Roman" w:hAnsi="Times New Roman" w:cs="Times New Roman"/>
          <w:sz w:val="24"/>
          <w:szCs w:val="24"/>
          <w:lang w:val="en-GB"/>
        </w:rPr>
        <w:t>presence of carers in the assessment room to assist learners with special education needs.</w:t>
      </w:r>
    </w:p>
    <w:p w:rsidR="00B135DC" w:rsidRPr="0046532F" w:rsidRDefault="00B135DC" w:rsidP="00B135DC">
      <w:pPr>
        <w:pStyle w:val="NoSpacing"/>
        <w:spacing w:line="360" w:lineRule="auto"/>
        <w:ind w:left="720"/>
        <w:jc w:val="both"/>
        <w:rPr>
          <w:rFonts w:ascii="Times New Roman" w:hAnsi="Times New Roman" w:cs="Times New Roman"/>
          <w:sz w:val="24"/>
          <w:szCs w:val="24"/>
          <w:lang w:val="en-GB"/>
        </w:rPr>
      </w:pPr>
    </w:p>
    <w:p w:rsidR="00B135DC" w:rsidRPr="0046532F" w:rsidRDefault="00B135DC" w:rsidP="00B135DC">
      <w:pPr>
        <w:pStyle w:val="ListParagraph"/>
        <w:numPr>
          <w:ilvl w:val="0"/>
          <w:numId w:val="3"/>
        </w:numPr>
        <w:tabs>
          <w:tab w:val="left" w:pos="270"/>
          <w:tab w:val="left" w:pos="360"/>
          <w:tab w:val="left" w:pos="1080"/>
        </w:tabs>
        <w:spacing w:line="360" w:lineRule="auto"/>
        <w:jc w:val="both"/>
        <w:rPr>
          <w:i/>
          <w:lang w:val="en-GB"/>
        </w:rPr>
      </w:pPr>
      <w:r w:rsidRPr="0046532F">
        <w:rPr>
          <w:i/>
          <w:lang w:val="en-GB"/>
        </w:rPr>
        <w:t>Norms and standards</w:t>
      </w:r>
    </w:p>
    <w:p w:rsidR="00B135DC" w:rsidRPr="0046532F" w:rsidRDefault="00B135DC" w:rsidP="00B135DC">
      <w:pPr>
        <w:pStyle w:val="ListParagraph"/>
        <w:tabs>
          <w:tab w:val="left" w:pos="270"/>
          <w:tab w:val="left" w:pos="360"/>
          <w:tab w:val="left" w:pos="1080"/>
        </w:tabs>
        <w:spacing w:line="360" w:lineRule="auto"/>
        <w:jc w:val="both"/>
        <w:rPr>
          <w:lang w:val="en-GB"/>
        </w:rPr>
      </w:pPr>
    </w:p>
    <w:p w:rsidR="00B135DC" w:rsidRPr="0046532F" w:rsidRDefault="00B135DC" w:rsidP="00B135DC">
      <w:pPr>
        <w:tabs>
          <w:tab w:val="left" w:pos="270"/>
        </w:tabs>
        <w:spacing w:line="360" w:lineRule="auto"/>
        <w:jc w:val="both"/>
        <w:rPr>
          <w:rFonts w:cs="Times New Roman"/>
          <w:lang w:val="en-GB"/>
        </w:rPr>
      </w:pPr>
      <w:r w:rsidRPr="0046532F">
        <w:rPr>
          <w:rFonts w:cs="Times New Roman"/>
          <w:lang w:val="en-GB"/>
        </w:rPr>
        <w:t xml:space="preserve">In order to ensure the quality of education in SEN schools, the </w:t>
      </w:r>
      <w:r w:rsidRPr="0046532F">
        <w:rPr>
          <w:rFonts w:cs="Times New Roman"/>
          <w:bCs/>
          <w:lang w:val="en-GB"/>
        </w:rPr>
        <w:t>Ministry of Education</w:t>
      </w:r>
      <w:r w:rsidRPr="0046532F">
        <w:rPr>
          <w:rFonts w:cs="Times New Roman"/>
          <w:bCs/>
        </w:rPr>
        <w:t xml:space="preserve">, Tertiary Education, Science and Technology </w:t>
      </w:r>
      <w:r w:rsidRPr="0046532F">
        <w:rPr>
          <w:rFonts w:cs="Times New Roman"/>
          <w:lang w:val="en-GB"/>
        </w:rPr>
        <w:t xml:space="preserve">came forward with norms and standards including human </w:t>
      </w:r>
      <w:r w:rsidRPr="0046532F">
        <w:rPr>
          <w:rFonts w:cs="Times New Roman"/>
          <w:lang w:val="en-GB"/>
        </w:rPr>
        <w:lastRenderedPageBreak/>
        <w:t>resource and infrastructural requirements for NGOs running SEN Schools. These norms and standards have been worked out in close collaboration with these NGOs. The implementation of the norms and standards is in progress.</w:t>
      </w:r>
    </w:p>
    <w:p w:rsidR="00B135DC" w:rsidRPr="0046532F" w:rsidRDefault="00B135DC" w:rsidP="00B135DC">
      <w:pPr>
        <w:tabs>
          <w:tab w:val="left" w:pos="270"/>
        </w:tabs>
        <w:spacing w:line="360" w:lineRule="auto"/>
        <w:jc w:val="both"/>
        <w:rPr>
          <w:rFonts w:cs="Times New Roman"/>
          <w:lang w:val="en-GB"/>
        </w:rPr>
      </w:pPr>
    </w:p>
    <w:p w:rsidR="00B135DC" w:rsidRPr="0046532F" w:rsidRDefault="00B135DC" w:rsidP="00B135DC">
      <w:pPr>
        <w:pStyle w:val="ListParagraph"/>
        <w:numPr>
          <w:ilvl w:val="0"/>
          <w:numId w:val="3"/>
        </w:numPr>
        <w:tabs>
          <w:tab w:val="left" w:pos="270"/>
        </w:tabs>
        <w:spacing w:line="360" w:lineRule="auto"/>
        <w:jc w:val="both"/>
        <w:rPr>
          <w:i/>
          <w:lang w:val="en-GB"/>
        </w:rPr>
      </w:pPr>
      <w:r w:rsidRPr="0046532F">
        <w:rPr>
          <w:i/>
          <w:lang w:val="en-GB"/>
        </w:rPr>
        <w:t>Curriculum Development and Activity Books</w:t>
      </w:r>
    </w:p>
    <w:p w:rsidR="00B135DC" w:rsidRPr="0046532F" w:rsidRDefault="00B135DC" w:rsidP="00B135DC">
      <w:pPr>
        <w:pStyle w:val="ListParagraph"/>
        <w:tabs>
          <w:tab w:val="left" w:pos="270"/>
        </w:tabs>
        <w:spacing w:line="360" w:lineRule="auto"/>
        <w:jc w:val="both"/>
        <w:rPr>
          <w:lang w:val="en-GB"/>
        </w:rPr>
      </w:pPr>
    </w:p>
    <w:p w:rsidR="00B135DC" w:rsidRPr="0046532F" w:rsidRDefault="00B135DC" w:rsidP="00B135DC">
      <w:pPr>
        <w:tabs>
          <w:tab w:val="left" w:pos="270"/>
        </w:tabs>
        <w:spacing w:line="360" w:lineRule="auto"/>
        <w:jc w:val="both"/>
        <w:rPr>
          <w:rFonts w:cs="Times New Roman"/>
          <w:lang w:val="en-GB"/>
        </w:rPr>
      </w:pPr>
      <w:r w:rsidRPr="0046532F">
        <w:rPr>
          <w:rFonts w:cs="Times New Roman"/>
          <w:lang w:val="en-GB"/>
        </w:rPr>
        <w:t>A Curriculum Framework for the SEN sector has been prepared by the Mauritius Institute of Education (MIE)</w:t>
      </w:r>
      <w:r>
        <w:rPr>
          <w:rFonts w:cs="Times New Roman"/>
          <w:lang w:val="en-GB"/>
        </w:rPr>
        <w:t xml:space="preserve"> </w:t>
      </w:r>
      <w:r w:rsidRPr="0046532F">
        <w:rPr>
          <w:rFonts w:cs="Times New Roman"/>
          <w:lang w:val="en-GB"/>
        </w:rPr>
        <w:t>with effect from 2014. The new Curriculum has been adapted to cater for children with hearing, visual, and intellectual impairments, as well as those suffering from Autism Spectrum Disorder (ASD). It is complemented with activity books, a teachers’ guide, and pedagogical toys.</w:t>
      </w:r>
    </w:p>
    <w:p w:rsidR="00A53B27" w:rsidRPr="00B135DC" w:rsidRDefault="00A53B27">
      <w:pPr>
        <w:rPr>
          <w:lang w:val="en-GB"/>
        </w:rPr>
      </w:pPr>
    </w:p>
    <w:sectPr w:rsidR="00A53B27" w:rsidRPr="00B135D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B73" w:rsidRDefault="00A01B73" w:rsidP="00600C3F">
      <w:r>
        <w:separator/>
      </w:r>
    </w:p>
  </w:endnote>
  <w:endnote w:type="continuationSeparator" w:id="0">
    <w:p w:rsidR="00A01B73" w:rsidRDefault="00A01B73" w:rsidP="00600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4293668"/>
      <w:docPartObj>
        <w:docPartGallery w:val="Page Numbers (Bottom of Page)"/>
        <w:docPartUnique/>
      </w:docPartObj>
    </w:sdtPr>
    <w:sdtEndPr>
      <w:rPr>
        <w:noProof/>
      </w:rPr>
    </w:sdtEndPr>
    <w:sdtContent>
      <w:p w:rsidR="00600C3F" w:rsidRDefault="00600C3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600C3F" w:rsidRDefault="00600C3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B73" w:rsidRDefault="00A01B73" w:rsidP="00600C3F">
      <w:r>
        <w:separator/>
      </w:r>
    </w:p>
  </w:footnote>
  <w:footnote w:type="continuationSeparator" w:id="0">
    <w:p w:rsidR="00A01B73" w:rsidRDefault="00A01B73" w:rsidP="00600C3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F86F27"/>
    <w:multiLevelType w:val="hybridMultilevel"/>
    <w:tmpl w:val="638C5F90"/>
    <w:lvl w:ilvl="0" w:tplc="A07E7130">
      <w:start w:val="1"/>
      <w:numFmt w:val="lowerRoman"/>
      <w:lvlText w:val="%1."/>
      <w:lvlJc w:val="right"/>
      <w:pPr>
        <w:ind w:left="720" w:hanging="360"/>
      </w:pPr>
      <w:rPr>
        <w:rFonts w:hint="default"/>
        <w:b w:val="0"/>
        <w:u w:val="none"/>
      </w:rPr>
    </w:lvl>
    <w:lvl w:ilvl="1" w:tplc="937C7960">
      <w:numFmt w:val="bullet"/>
      <w:lvlText w:val="•"/>
      <w:lvlJc w:val="left"/>
      <w:pPr>
        <w:ind w:left="1440" w:hanging="360"/>
      </w:pPr>
      <w:rPr>
        <w:rFonts w:ascii="Times New Roman" w:eastAsia="SimSun" w:hAnsi="Times New Roman" w:cs="Times New Roman" w:hint="default"/>
      </w:rPr>
    </w:lvl>
    <w:lvl w:ilvl="2" w:tplc="95102D7C">
      <w:start w:val="1"/>
      <w:numFmt w:val="low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824A4A"/>
    <w:multiLevelType w:val="hybridMultilevel"/>
    <w:tmpl w:val="97DC54A6"/>
    <w:lvl w:ilvl="0" w:tplc="FA7898B0">
      <w:start w:val="1"/>
      <w:numFmt w:val="lowerRoman"/>
      <w:lvlText w:val="%1."/>
      <w:lvlJc w:val="righ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83128F"/>
    <w:multiLevelType w:val="hybridMultilevel"/>
    <w:tmpl w:val="7200EC5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5DC"/>
    <w:rsid w:val="000A147D"/>
    <w:rsid w:val="00600C3F"/>
    <w:rsid w:val="00A01B73"/>
    <w:rsid w:val="00A53B27"/>
    <w:rsid w:val="00B135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1EDE9"/>
  <w15:chartTrackingRefBased/>
  <w15:docId w15:val="{A9B7AE0C-58E8-4866-99FC-10F154B0C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5DC"/>
    <w:pPr>
      <w:spacing w:after="0" w:line="240" w:lineRule="auto"/>
    </w:pPr>
    <w:rPr>
      <w:rFonts w:ascii="Times New Roman" w:hAnsi="Times New Roman"/>
      <w:sz w:val="24"/>
      <w:szCs w:val="24"/>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Bullets,Title Style 1,Numbered List Paragraph,lp1,List Paragraph Saana,Citation List,Table of contents numbered,Graphic,List Paragraph1,Bullets1,Resume Title,WB Para,Dot pt,F5 List Paragraph,List Paragraph Char Char Char,Bullet"/>
    <w:basedOn w:val="Normal"/>
    <w:link w:val="ListParagraphChar"/>
    <w:uiPriority w:val="34"/>
    <w:qFormat/>
    <w:rsid w:val="00B135DC"/>
    <w:pPr>
      <w:ind w:left="720"/>
    </w:pPr>
    <w:rPr>
      <w:rFonts w:eastAsia="Times New Roman" w:cs="Times New Roman"/>
      <w:lang w:val="en-US"/>
    </w:rPr>
  </w:style>
  <w:style w:type="character" w:customStyle="1" w:styleId="ListParagraphChar">
    <w:name w:val="List Paragraph Char"/>
    <w:aliases w:val="References Char,Bullets Char,Title Style 1 Char,Numbered List Paragraph Char,lp1 Char,List Paragraph Saana Char,Citation List Char,Table of contents numbered Char,Graphic Char,List Paragraph1 Char,Bullets1 Char,Resume Title Char"/>
    <w:link w:val="ListParagraph"/>
    <w:uiPriority w:val="34"/>
    <w:qFormat/>
    <w:rsid w:val="00B135DC"/>
    <w:rPr>
      <w:rFonts w:ascii="Times New Roman" w:eastAsia="Times New Roman" w:hAnsi="Times New Roman" w:cs="Times New Roman"/>
      <w:sz w:val="24"/>
      <w:szCs w:val="24"/>
      <w:lang w:val="en-US"/>
    </w:rPr>
  </w:style>
  <w:style w:type="character" w:customStyle="1" w:styleId="SingleTxtGChar">
    <w:name w:val="_ Single Txt_G Char"/>
    <w:basedOn w:val="DefaultParagraphFont"/>
    <w:link w:val="SingleTxtG"/>
    <w:qFormat/>
    <w:rsid w:val="00B135DC"/>
    <w:rPr>
      <w:rFonts w:ascii="Times New Roman" w:eastAsia="SimSun" w:hAnsi="Times New Roman" w:cs="Times New Roman"/>
      <w:sz w:val="20"/>
      <w:szCs w:val="20"/>
      <w:lang w:eastAsia="zh-CN"/>
    </w:rPr>
  </w:style>
  <w:style w:type="paragraph" w:customStyle="1" w:styleId="SingleTxtG">
    <w:name w:val="_ Single Txt_G"/>
    <w:basedOn w:val="Normal"/>
    <w:link w:val="SingleTxtGChar"/>
    <w:qFormat/>
    <w:rsid w:val="00B135DC"/>
    <w:pPr>
      <w:suppressAutoHyphens/>
      <w:spacing w:after="120" w:line="240" w:lineRule="atLeast"/>
      <w:ind w:left="1134" w:right="1134"/>
      <w:jc w:val="both"/>
    </w:pPr>
    <w:rPr>
      <w:rFonts w:eastAsia="SimSun" w:cs="Times New Roman"/>
      <w:sz w:val="20"/>
      <w:szCs w:val="20"/>
      <w:lang w:val="en-GB" w:eastAsia="zh-CN"/>
    </w:rPr>
  </w:style>
  <w:style w:type="paragraph" w:styleId="NoSpacing">
    <w:name w:val="No Spacing"/>
    <w:link w:val="NoSpacingChar"/>
    <w:uiPriority w:val="1"/>
    <w:qFormat/>
    <w:rsid w:val="00B135DC"/>
    <w:pPr>
      <w:spacing w:after="0" w:line="240" w:lineRule="auto"/>
    </w:pPr>
    <w:rPr>
      <w:sz w:val="20"/>
      <w:lang w:val="en-US"/>
    </w:rPr>
  </w:style>
  <w:style w:type="paragraph" w:customStyle="1" w:styleId="Standard">
    <w:name w:val="Standard"/>
    <w:rsid w:val="00B135DC"/>
    <w:pPr>
      <w:widowControl w:val="0"/>
      <w:suppressAutoHyphens/>
      <w:autoSpaceDN w:val="0"/>
      <w:spacing w:after="0" w:line="240" w:lineRule="auto"/>
      <w:textAlignment w:val="baseline"/>
    </w:pPr>
    <w:rPr>
      <w:rFonts w:ascii="Liberation Serif" w:eastAsia="SimSun" w:hAnsi="Liberation Serif" w:cs="Arial"/>
      <w:kern w:val="3"/>
      <w:sz w:val="24"/>
      <w:szCs w:val="24"/>
      <w:lang w:val="en-US" w:eastAsia="zh-CN" w:bidi="hi-IN"/>
    </w:rPr>
  </w:style>
  <w:style w:type="character" w:customStyle="1" w:styleId="NoSpacingChar">
    <w:name w:val="No Spacing Char"/>
    <w:link w:val="NoSpacing"/>
    <w:uiPriority w:val="1"/>
    <w:rsid w:val="00B135DC"/>
    <w:rPr>
      <w:sz w:val="20"/>
      <w:lang w:val="en-US"/>
    </w:rPr>
  </w:style>
  <w:style w:type="table" w:styleId="TableGrid">
    <w:name w:val="Table Grid"/>
    <w:basedOn w:val="TableNormal"/>
    <w:uiPriority w:val="59"/>
    <w:rsid w:val="00B135DC"/>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0C3F"/>
    <w:pPr>
      <w:tabs>
        <w:tab w:val="center" w:pos="4513"/>
        <w:tab w:val="right" w:pos="9026"/>
      </w:tabs>
    </w:pPr>
  </w:style>
  <w:style w:type="character" w:customStyle="1" w:styleId="HeaderChar">
    <w:name w:val="Header Char"/>
    <w:basedOn w:val="DefaultParagraphFont"/>
    <w:link w:val="Header"/>
    <w:uiPriority w:val="99"/>
    <w:rsid w:val="00600C3F"/>
    <w:rPr>
      <w:rFonts w:ascii="Times New Roman" w:hAnsi="Times New Roman"/>
      <w:sz w:val="24"/>
      <w:szCs w:val="24"/>
      <w:lang w:val="en-ZA"/>
    </w:rPr>
  </w:style>
  <w:style w:type="paragraph" w:styleId="Footer">
    <w:name w:val="footer"/>
    <w:basedOn w:val="Normal"/>
    <w:link w:val="FooterChar"/>
    <w:uiPriority w:val="99"/>
    <w:unhideWhenUsed/>
    <w:rsid w:val="00600C3F"/>
    <w:pPr>
      <w:tabs>
        <w:tab w:val="center" w:pos="4513"/>
        <w:tab w:val="right" w:pos="9026"/>
      </w:tabs>
    </w:pPr>
  </w:style>
  <w:style w:type="character" w:customStyle="1" w:styleId="FooterChar">
    <w:name w:val="Footer Char"/>
    <w:basedOn w:val="DefaultParagraphFont"/>
    <w:link w:val="Footer"/>
    <w:uiPriority w:val="99"/>
    <w:rsid w:val="00600C3F"/>
    <w:rPr>
      <w:rFonts w:ascii="Times New Roman" w:hAnsi="Times New Roman"/>
      <w:sz w:val="24"/>
      <w:szCs w:val="24"/>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D26D7729DC404C8656BACE387338A9" ma:contentTypeVersion="1" ma:contentTypeDescription="Create a new document." ma:contentTypeScope="" ma:versionID="0bada1de042ab64004e1b9894a5e21a1">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CDEE303-479C-4A55-88FF-5970BEB5C1DE}"/>
</file>

<file path=customXml/itemProps2.xml><?xml version="1.0" encoding="utf-8"?>
<ds:datastoreItem xmlns:ds="http://schemas.openxmlformats.org/officeDocument/2006/customXml" ds:itemID="{5D6C378F-EB7A-44E3-96E9-1E6570361668}"/>
</file>

<file path=customXml/itemProps3.xml><?xml version="1.0" encoding="utf-8"?>
<ds:datastoreItem xmlns:ds="http://schemas.openxmlformats.org/officeDocument/2006/customXml" ds:itemID="{F04B05DD-0ECA-4947-A985-9ABF5C8D27A7}"/>
</file>

<file path=docProps/app.xml><?xml version="1.0" encoding="utf-8"?>
<Properties xmlns="http://schemas.openxmlformats.org/officeDocument/2006/extended-properties" xmlns:vt="http://schemas.openxmlformats.org/officeDocument/2006/docPropsVTypes">
  <Template>Normal</Template>
  <TotalTime>1</TotalTime>
  <Pages>4</Pages>
  <Words>858</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2020-09-08T11:56:00Z</dcterms:created>
  <dcterms:modified xsi:type="dcterms:W3CDTF">2020-09-08T12:58:00Z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0x01010088D26D7729DC404C8656BACE387338A9</vt:lpwstr>
  </property>
</Properties>
</file>