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BE" w:rsidRPr="00B54BF0" w:rsidRDefault="00A978F3" w:rsidP="00B54BF0">
      <w:pPr>
        <w:spacing w:after="160" w:line="360" w:lineRule="auto"/>
        <w:jc w:val="right"/>
        <w:rPr>
          <w:rFonts w:eastAsia="Calibri" w:cs="Times New Roman"/>
          <w:b/>
          <w:lang w:val="en-US"/>
        </w:rPr>
      </w:pPr>
      <w:r>
        <w:rPr>
          <w:rFonts w:eastAsia="Calibri" w:cs="Times New Roman"/>
          <w:b/>
          <w:lang w:val="en-US"/>
        </w:rPr>
        <w:t>Annex</w:t>
      </w:r>
      <w:bookmarkStart w:id="0" w:name="_GoBack"/>
      <w:bookmarkEnd w:id="0"/>
      <w:r w:rsidR="0075662B">
        <w:rPr>
          <w:rFonts w:eastAsia="Calibri" w:cs="Times New Roman"/>
          <w:b/>
          <w:lang w:val="en-US"/>
        </w:rPr>
        <w:t xml:space="preserve"> </w:t>
      </w:r>
      <w:r w:rsidR="007E55BE" w:rsidRPr="00B54BF0">
        <w:rPr>
          <w:rFonts w:eastAsia="Calibri" w:cs="Times New Roman"/>
          <w:b/>
          <w:lang w:val="en-US"/>
        </w:rPr>
        <w:t>V</w:t>
      </w:r>
      <w:r>
        <w:rPr>
          <w:rFonts w:eastAsia="Calibri" w:cs="Times New Roman"/>
          <w:b/>
          <w:lang w:val="en-US"/>
        </w:rPr>
        <w:t>II</w:t>
      </w:r>
    </w:p>
    <w:p w:rsidR="007E55BE" w:rsidRPr="00A978F3" w:rsidRDefault="00A978F3" w:rsidP="00B54BF0">
      <w:pPr>
        <w:spacing w:after="160" w:line="360" w:lineRule="auto"/>
        <w:jc w:val="center"/>
        <w:rPr>
          <w:rFonts w:eastAsia="Calibri" w:cs="Times New Roman"/>
          <w:b/>
          <w:lang w:val="en-US"/>
        </w:rPr>
      </w:pPr>
      <w:r w:rsidRPr="00A978F3">
        <w:rPr>
          <w:rFonts w:eastAsia="Calibri" w:cs="Times New Roman"/>
          <w:b/>
          <w:lang w:val="en-US"/>
        </w:rPr>
        <w:t xml:space="preserve">EXTRACTS FROM THE </w:t>
      </w:r>
      <w:r w:rsidR="00CB13CE" w:rsidRPr="00A978F3">
        <w:rPr>
          <w:rFonts w:eastAsia="Calibri" w:cs="Times New Roman"/>
          <w:b/>
          <w:lang w:val="en-US"/>
        </w:rPr>
        <w:t xml:space="preserve">MENTAL HEALTH </w:t>
      </w:r>
      <w:r w:rsidR="00D66EF8" w:rsidRPr="00A978F3">
        <w:rPr>
          <w:rFonts w:eastAsia="Calibri" w:cs="Times New Roman"/>
          <w:b/>
          <w:lang w:val="en-US"/>
        </w:rPr>
        <w:t xml:space="preserve">CARE </w:t>
      </w:r>
      <w:r w:rsidR="00CB13CE" w:rsidRPr="00A978F3">
        <w:rPr>
          <w:rFonts w:eastAsia="Calibri" w:cs="Times New Roman"/>
          <w:b/>
          <w:lang w:val="en-US"/>
        </w:rPr>
        <w:t>ACT</w:t>
      </w:r>
    </w:p>
    <w:p w:rsidR="00B54BF0" w:rsidRPr="000B6C5C" w:rsidRDefault="00B54BF0" w:rsidP="00B54BF0">
      <w:pPr>
        <w:spacing w:after="160" w:line="360" w:lineRule="auto"/>
        <w:jc w:val="center"/>
        <w:rPr>
          <w:rFonts w:eastAsia="Calibri" w:cs="Times New Roman"/>
          <w:b/>
          <w:u w:val="single"/>
          <w:lang w:val="en-US"/>
        </w:rPr>
      </w:pPr>
    </w:p>
    <w:p w:rsidR="007E55BE" w:rsidRPr="000B6C5C" w:rsidRDefault="007E55BE" w:rsidP="000B6C5C">
      <w:pPr>
        <w:spacing w:after="160" w:line="360" w:lineRule="auto"/>
        <w:jc w:val="both"/>
        <w:rPr>
          <w:rFonts w:eastAsia="Calibri" w:cs="Times New Roman"/>
          <w:lang w:val="en-US"/>
        </w:rPr>
      </w:pPr>
      <w:r w:rsidRPr="000B6C5C">
        <w:rPr>
          <w:rFonts w:eastAsia="Calibri" w:cs="Times New Roman"/>
          <w:lang w:val="en-US"/>
        </w:rPr>
        <w:t xml:space="preserve">Section 2 of the Mental Health Care Act </w:t>
      </w:r>
      <w:r w:rsidR="00D66EF8" w:rsidRPr="000B6C5C">
        <w:rPr>
          <w:rFonts w:eastAsia="Calibri" w:cs="Times New Roman"/>
          <w:lang w:val="en-US"/>
        </w:rPr>
        <w:t>provides inter alia for the following definitions:</w:t>
      </w:r>
    </w:p>
    <w:p w:rsidR="00265B62" w:rsidRPr="000B6C5C" w:rsidRDefault="00265B62" w:rsidP="00B54BF0">
      <w:pPr>
        <w:pStyle w:val="definition"/>
        <w:spacing w:line="360" w:lineRule="auto"/>
        <w:ind w:left="0" w:firstLine="0"/>
        <w:rPr>
          <w:i/>
          <w:sz w:val="24"/>
          <w:szCs w:val="24"/>
        </w:rPr>
      </w:pPr>
      <w:r w:rsidRPr="000B6C5C">
        <w:rPr>
          <w:i/>
          <w:sz w:val="24"/>
          <w:szCs w:val="24"/>
        </w:rPr>
        <w:t>“informed consent” means consent obtained freely, without threat or improper inducement, after disclosure to the patient or his next of kin of adequate and understandable information in a form and language understood by the patient or his next of kin on—</w:t>
      </w:r>
    </w:p>
    <w:p w:rsidR="00265B62" w:rsidRPr="000B6C5C" w:rsidRDefault="00265B62" w:rsidP="00B54BF0">
      <w:pPr>
        <w:pStyle w:val="para"/>
        <w:spacing w:line="360" w:lineRule="auto"/>
        <w:rPr>
          <w:i/>
          <w:sz w:val="24"/>
          <w:szCs w:val="24"/>
        </w:rPr>
      </w:pPr>
      <w:r w:rsidRPr="000B6C5C">
        <w:rPr>
          <w:i/>
          <w:sz w:val="24"/>
          <w:szCs w:val="24"/>
        </w:rPr>
        <w:t>(a)</w:t>
      </w:r>
      <w:r w:rsidRPr="000B6C5C">
        <w:rPr>
          <w:i/>
          <w:sz w:val="24"/>
          <w:szCs w:val="24"/>
        </w:rPr>
        <w:tab/>
        <w:t>the diagnostic assessment;</w:t>
      </w:r>
    </w:p>
    <w:p w:rsidR="00265B62" w:rsidRPr="000B6C5C" w:rsidRDefault="00265B62" w:rsidP="00B54BF0">
      <w:pPr>
        <w:pStyle w:val="para"/>
        <w:spacing w:line="360" w:lineRule="auto"/>
        <w:rPr>
          <w:i/>
          <w:sz w:val="24"/>
          <w:szCs w:val="24"/>
        </w:rPr>
      </w:pPr>
      <w:r w:rsidRPr="000B6C5C">
        <w:rPr>
          <w:i/>
          <w:sz w:val="24"/>
          <w:szCs w:val="24"/>
        </w:rPr>
        <w:t>(b)</w:t>
      </w:r>
      <w:r w:rsidRPr="000B6C5C">
        <w:rPr>
          <w:i/>
          <w:sz w:val="24"/>
          <w:szCs w:val="24"/>
        </w:rPr>
        <w:tab/>
        <w:t>the purpose, method, likely duration and expected benefit of the proposed treatment;</w:t>
      </w:r>
    </w:p>
    <w:p w:rsidR="00265B62" w:rsidRPr="000B6C5C" w:rsidRDefault="00265B62" w:rsidP="00B54BF0">
      <w:pPr>
        <w:pStyle w:val="para"/>
        <w:spacing w:line="360" w:lineRule="auto"/>
        <w:rPr>
          <w:i/>
          <w:sz w:val="24"/>
          <w:szCs w:val="24"/>
        </w:rPr>
      </w:pPr>
      <w:r w:rsidRPr="000B6C5C">
        <w:rPr>
          <w:i/>
          <w:sz w:val="24"/>
          <w:szCs w:val="24"/>
        </w:rPr>
        <w:t>(c)</w:t>
      </w:r>
      <w:r w:rsidRPr="000B6C5C">
        <w:rPr>
          <w:i/>
          <w:sz w:val="24"/>
          <w:szCs w:val="24"/>
        </w:rPr>
        <w:tab/>
        <w:t>alternative modes of treatment, including those less intrusive; and</w:t>
      </w:r>
    </w:p>
    <w:p w:rsidR="00265B62" w:rsidRPr="000B6C5C" w:rsidRDefault="00265B62" w:rsidP="00B54BF0">
      <w:pPr>
        <w:spacing w:after="160" w:line="360" w:lineRule="auto"/>
        <w:jc w:val="both"/>
        <w:rPr>
          <w:rFonts w:cs="Times New Roman"/>
          <w:i/>
        </w:rPr>
      </w:pPr>
      <w:r w:rsidRPr="000B6C5C">
        <w:rPr>
          <w:rFonts w:cs="Times New Roman"/>
          <w:i/>
        </w:rPr>
        <w:t>(d)</w:t>
      </w:r>
      <w:r w:rsidRPr="000B6C5C">
        <w:rPr>
          <w:rFonts w:cs="Times New Roman"/>
          <w:i/>
        </w:rPr>
        <w:tab/>
        <w:t>possible pain or discomfort, risks and side-effects of the proposed treatment;</w:t>
      </w:r>
    </w:p>
    <w:p w:rsidR="00265B62" w:rsidRPr="00B54BF0" w:rsidRDefault="00D66EF8" w:rsidP="00B54BF0">
      <w:pPr>
        <w:pStyle w:val="definition"/>
        <w:spacing w:line="360" w:lineRule="auto"/>
        <w:ind w:left="0" w:firstLine="0"/>
        <w:rPr>
          <w:i/>
          <w:sz w:val="24"/>
          <w:szCs w:val="24"/>
        </w:rPr>
      </w:pPr>
      <w:r w:rsidRPr="00B54BF0" w:rsidDel="00D66EF8">
        <w:rPr>
          <w:rFonts w:eastAsia="Calibri"/>
          <w:sz w:val="24"/>
          <w:szCs w:val="24"/>
          <w:lang w:val="en-US"/>
        </w:rPr>
        <w:t xml:space="preserve"> </w:t>
      </w:r>
      <w:r w:rsidR="00265B62" w:rsidRPr="00B54BF0">
        <w:rPr>
          <w:i/>
          <w:sz w:val="24"/>
          <w:szCs w:val="24"/>
        </w:rPr>
        <w:t>“security patient” means a patient who—</w:t>
      </w:r>
    </w:p>
    <w:p w:rsidR="00265B62" w:rsidRPr="00B54BF0" w:rsidRDefault="00265B62" w:rsidP="00B54BF0">
      <w:pPr>
        <w:pStyle w:val="para"/>
        <w:tabs>
          <w:tab w:val="clear" w:pos="1134"/>
        </w:tabs>
        <w:spacing w:line="360" w:lineRule="auto"/>
        <w:ind w:left="567" w:hanging="567"/>
        <w:rPr>
          <w:i/>
          <w:sz w:val="24"/>
          <w:szCs w:val="24"/>
        </w:rPr>
      </w:pPr>
      <w:r w:rsidRPr="00B54BF0">
        <w:rPr>
          <w:i/>
          <w:sz w:val="24"/>
          <w:szCs w:val="24"/>
        </w:rPr>
        <w:t>(a)</w:t>
      </w:r>
      <w:r w:rsidRPr="00B54BF0">
        <w:rPr>
          <w:i/>
          <w:sz w:val="24"/>
          <w:szCs w:val="24"/>
        </w:rPr>
        <w:tab/>
        <w:t>is unfit to stand trial by reason of mental disorder;</w:t>
      </w:r>
    </w:p>
    <w:p w:rsidR="00265B62" w:rsidRPr="00B54BF0" w:rsidRDefault="00265B62" w:rsidP="00B54BF0">
      <w:pPr>
        <w:pStyle w:val="para"/>
        <w:tabs>
          <w:tab w:val="clear" w:pos="1134"/>
        </w:tabs>
        <w:spacing w:line="360" w:lineRule="auto"/>
        <w:ind w:left="567" w:hanging="567"/>
        <w:rPr>
          <w:i/>
          <w:sz w:val="24"/>
          <w:szCs w:val="24"/>
        </w:rPr>
      </w:pPr>
      <w:r w:rsidRPr="00B54BF0">
        <w:rPr>
          <w:i/>
          <w:sz w:val="24"/>
          <w:szCs w:val="24"/>
        </w:rPr>
        <w:t>(b)</w:t>
      </w:r>
      <w:r w:rsidRPr="00B54BF0">
        <w:rPr>
          <w:i/>
          <w:sz w:val="24"/>
          <w:szCs w:val="24"/>
        </w:rPr>
        <w:tab/>
        <w:t>has been found not to be guilty by reason of mental disorder;</w:t>
      </w:r>
    </w:p>
    <w:p w:rsidR="00265B62" w:rsidRPr="00B54BF0" w:rsidRDefault="00265B62" w:rsidP="00B54BF0">
      <w:pPr>
        <w:pStyle w:val="para"/>
        <w:tabs>
          <w:tab w:val="clear" w:pos="1134"/>
        </w:tabs>
        <w:spacing w:line="360" w:lineRule="auto"/>
        <w:ind w:left="567" w:hanging="567"/>
        <w:rPr>
          <w:i/>
          <w:sz w:val="24"/>
          <w:szCs w:val="24"/>
        </w:rPr>
      </w:pPr>
      <w:r w:rsidRPr="00B54BF0">
        <w:rPr>
          <w:i/>
          <w:sz w:val="24"/>
          <w:szCs w:val="24"/>
        </w:rPr>
        <w:t>(c)</w:t>
      </w:r>
      <w:r w:rsidRPr="00B54BF0">
        <w:rPr>
          <w:i/>
          <w:sz w:val="24"/>
          <w:szCs w:val="24"/>
        </w:rPr>
        <w:tab/>
        <w:t>is suspected of having committed a criminal offence; or</w:t>
      </w:r>
    </w:p>
    <w:p w:rsidR="00265B62" w:rsidRPr="00B54BF0" w:rsidRDefault="00265B62" w:rsidP="00B54BF0">
      <w:pPr>
        <w:pStyle w:val="para"/>
        <w:tabs>
          <w:tab w:val="clear" w:pos="1134"/>
        </w:tabs>
        <w:spacing w:line="360" w:lineRule="auto"/>
        <w:ind w:left="567" w:hanging="567"/>
        <w:rPr>
          <w:i/>
          <w:sz w:val="24"/>
          <w:szCs w:val="24"/>
        </w:rPr>
      </w:pPr>
      <w:r w:rsidRPr="00B54BF0">
        <w:rPr>
          <w:i/>
          <w:sz w:val="24"/>
          <w:szCs w:val="24"/>
        </w:rPr>
        <w:t>(d)</w:t>
      </w:r>
      <w:r w:rsidRPr="00B54BF0">
        <w:rPr>
          <w:i/>
          <w:sz w:val="24"/>
          <w:szCs w:val="24"/>
        </w:rPr>
        <w:tab/>
        <w:t>is in the custody of the police or is a detainee in a reform institution referred to in the Reform Institutions Act;</w:t>
      </w:r>
    </w:p>
    <w:p w:rsidR="00265B62" w:rsidRPr="00B54BF0" w:rsidRDefault="00265B62" w:rsidP="00B54BF0">
      <w:pPr>
        <w:spacing w:after="160" w:line="360" w:lineRule="auto"/>
        <w:jc w:val="both"/>
        <w:rPr>
          <w:rFonts w:eastAsia="Calibri" w:cs="Times New Roman"/>
          <w:lang w:val="en-GB"/>
        </w:rPr>
      </w:pPr>
    </w:p>
    <w:p w:rsidR="007E55BE" w:rsidRPr="00B54BF0" w:rsidRDefault="00D66EF8" w:rsidP="00B54BF0">
      <w:pPr>
        <w:spacing w:after="160" w:line="360" w:lineRule="auto"/>
        <w:jc w:val="both"/>
        <w:rPr>
          <w:rFonts w:eastAsia="Calibri" w:cs="Times New Roman"/>
          <w:lang w:val="en-US"/>
        </w:rPr>
      </w:pPr>
      <w:r w:rsidRPr="00B54BF0">
        <w:rPr>
          <w:rFonts w:eastAsia="Calibri" w:cs="Times New Roman"/>
          <w:lang w:val="en-US"/>
        </w:rPr>
        <w:t>Other relevant extracts are</w:t>
      </w:r>
      <w:r w:rsidR="007E55BE" w:rsidRPr="00B54BF0">
        <w:rPr>
          <w:rFonts w:eastAsia="Calibri" w:cs="Times New Roman"/>
          <w:lang w:val="en-US"/>
        </w:rPr>
        <w:t xml:space="preserve"> as follows-</w:t>
      </w:r>
    </w:p>
    <w:p w:rsidR="000600B8" w:rsidRPr="00B54BF0" w:rsidRDefault="00265B62" w:rsidP="00B54BF0">
      <w:pPr>
        <w:pStyle w:val="section"/>
        <w:spacing w:before="0" w:line="360" w:lineRule="auto"/>
        <w:ind w:left="360" w:hanging="360"/>
        <w:jc w:val="both"/>
        <w:rPr>
          <w:i/>
          <w:sz w:val="24"/>
          <w:szCs w:val="24"/>
          <w:lang w:val="en-US"/>
        </w:rPr>
      </w:pPr>
      <w:r w:rsidRPr="00B54BF0">
        <w:rPr>
          <w:rFonts w:eastAsia="Calibri"/>
          <w:i/>
          <w:sz w:val="24"/>
          <w:szCs w:val="24"/>
          <w:lang w:val="en-US"/>
        </w:rPr>
        <w:t xml:space="preserve"> </w:t>
      </w:r>
      <w:r w:rsidR="000600B8" w:rsidRPr="00B54BF0">
        <w:rPr>
          <w:i/>
          <w:sz w:val="24"/>
          <w:szCs w:val="24"/>
          <w:lang w:val="en-US"/>
        </w:rPr>
        <w:t>5.</w:t>
      </w:r>
      <w:r w:rsidR="000600B8" w:rsidRPr="00B54BF0">
        <w:rPr>
          <w:i/>
          <w:sz w:val="24"/>
          <w:szCs w:val="24"/>
          <w:lang w:val="en-US"/>
        </w:rPr>
        <w:tab/>
        <w:t>Mental Health Commission</w:t>
      </w:r>
    </w:p>
    <w:p w:rsidR="000600B8" w:rsidRPr="00B54BF0" w:rsidRDefault="000600B8" w:rsidP="00B54BF0">
      <w:pPr>
        <w:pStyle w:val="section"/>
        <w:spacing w:before="0" w:line="360" w:lineRule="auto"/>
        <w:jc w:val="both"/>
        <w:rPr>
          <w:b w:val="0"/>
          <w:i/>
          <w:sz w:val="24"/>
          <w:szCs w:val="24"/>
          <w:lang w:val="en-US"/>
        </w:rPr>
      </w:pPr>
    </w:p>
    <w:p w:rsidR="000600B8" w:rsidRPr="00B54BF0" w:rsidRDefault="000600B8" w:rsidP="00B54BF0">
      <w:pPr>
        <w:pStyle w:val="section"/>
        <w:numPr>
          <w:ilvl w:val="0"/>
          <w:numId w:val="5"/>
        </w:numPr>
        <w:spacing w:before="0" w:line="360" w:lineRule="auto"/>
        <w:ind w:left="0" w:firstLine="360"/>
        <w:jc w:val="both"/>
        <w:rPr>
          <w:b w:val="0"/>
          <w:i/>
          <w:sz w:val="24"/>
          <w:szCs w:val="24"/>
          <w:lang w:val="en-US"/>
        </w:rPr>
      </w:pPr>
      <w:r w:rsidRPr="00B54BF0">
        <w:rPr>
          <w:b w:val="0"/>
          <w:i/>
          <w:sz w:val="24"/>
          <w:szCs w:val="24"/>
          <w:lang w:val="en-US"/>
        </w:rPr>
        <w:t>There shall be for the purposes of this Act a Mental Health Commission.</w:t>
      </w:r>
    </w:p>
    <w:p w:rsidR="000600B8" w:rsidRPr="00B54BF0" w:rsidRDefault="000600B8" w:rsidP="00B54BF0">
      <w:pPr>
        <w:pStyle w:val="section"/>
        <w:spacing w:before="0" w:line="360" w:lineRule="auto"/>
        <w:ind w:firstLine="360"/>
        <w:jc w:val="both"/>
        <w:rPr>
          <w:b w:val="0"/>
          <w:i/>
          <w:sz w:val="24"/>
          <w:szCs w:val="24"/>
          <w:lang w:val="en-US"/>
        </w:rPr>
      </w:pPr>
    </w:p>
    <w:p w:rsidR="000600B8" w:rsidRPr="00B54BF0" w:rsidRDefault="000600B8" w:rsidP="00B54BF0">
      <w:pPr>
        <w:pStyle w:val="headpart"/>
        <w:spacing w:before="0" w:line="360" w:lineRule="auto"/>
        <w:jc w:val="both"/>
        <w:rPr>
          <w:b w:val="0"/>
          <w:i/>
          <w:sz w:val="24"/>
          <w:szCs w:val="24"/>
        </w:rPr>
      </w:pPr>
      <w:r w:rsidRPr="00B54BF0">
        <w:rPr>
          <w:b w:val="0"/>
          <w:i/>
          <w:sz w:val="24"/>
          <w:szCs w:val="24"/>
        </w:rPr>
        <w:t>[…]</w:t>
      </w:r>
    </w:p>
    <w:p w:rsidR="000600B8" w:rsidRDefault="000600B8" w:rsidP="00B54BF0">
      <w:pPr>
        <w:pStyle w:val="section"/>
        <w:spacing w:before="0" w:line="360" w:lineRule="auto"/>
        <w:jc w:val="both"/>
        <w:rPr>
          <w:b w:val="0"/>
          <w:i/>
          <w:sz w:val="24"/>
          <w:szCs w:val="24"/>
        </w:rPr>
      </w:pPr>
    </w:p>
    <w:p w:rsidR="00060BDD" w:rsidRPr="00B54BF0" w:rsidRDefault="00060BDD" w:rsidP="00B54BF0">
      <w:pPr>
        <w:pStyle w:val="section"/>
        <w:spacing w:before="0" w:line="360" w:lineRule="auto"/>
        <w:jc w:val="both"/>
        <w:rPr>
          <w:b w:val="0"/>
          <w:i/>
          <w:sz w:val="24"/>
          <w:szCs w:val="24"/>
        </w:rPr>
      </w:pPr>
    </w:p>
    <w:p w:rsidR="000600B8" w:rsidRPr="00B54BF0" w:rsidRDefault="000600B8" w:rsidP="00B54BF0">
      <w:pPr>
        <w:tabs>
          <w:tab w:val="left" w:pos="360"/>
        </w:tabs>
        <w:spacing w:line="360" w:lineRule="auto"/>
        <w:ind w:right="360"/>
        <w:jc w:val="both"/>
        <w:rPr>
          <w:rFonts w:cs="Times New Roman"/>
          <w:b/>
          <w:i/>
          <w:lang w:val="en-US"/>
        </w:rPr>
      </w:pPr>
      <w:r w:rsidRPr="00B54BF0">
        <w:rPr>
          <w:rFonts w:cs="Times New Roman"/>
          <w:b/>
          <w:i/>
          <w:lang w:val="en-US"/>
        </w:rPr>
        <w:lastRenderedPageBreak/>
        <w:t>6.</w:t>
      </w:r>
      <w:r w:rsidRPr="00B54BF0">
        <w:rPr>
          <w:rFonts w:cs="Times New Roman"/>
          <w:b/>
          <w:i/>
          <w:lang w:val="en-US"/>
        </w:rPr>
        <w:tab/>
        <w:t>Functions of Commission</w:t>
      </w:r>
    </w:p>
    <w:p w:rsidR="000600B8" w:rsidRPr="00B54BF0" w:rsidRDefault="000600B8" w:rsidP="00B54BF0">
      <w:pPr>
        <w:spacing w:line="360" w:lineRule="auto"/>
        <w:ind w:right="360"/>
        <w:jc w:val="both"/>
        <w:rPr>
          <w:rFonts w:cs="Times New Roman"/>
          <w:b/>
          <w:i/>
          <w:lang w:val="en-US"/>
        </w:rPr>
      </w:pPr>
    </w:p>
    <w:p w:rsidR="000600B8" w:rsidRPr="00B54BF0" w:rsidRDefault="000600B8" w:rsidP="00B54BF0">
      <w:pPr>
        <w:numPr>
          <w:ilvl w:val="0"/>
          <w:numId w:val="8"/>
        </w:numPr>
        <w:autoSpaceDE w:val="0"/>
        <w:autoSpaceDN w:val="0"/>
        <w:adjustRightInd w:val="0"/>
        <w:spacing w:line="360" w:lineRule="auto"/>
        <w:ind w:left="0" w:right="360" w:firstLine="360"/>
        <w:jc w:val="both"/>
        <w:rPr>
          <w:rFonts w:cs="Times New Roman"/>
          <w:i/>
          <w:lang w:val="en-US"/>
        </w:rPr>
      </w:pPr>
      <w:r w:rsidRPr="00B54BF0">
        <w:rPr>
          <w:rFonts w:cs="Times New Roman"/>
          <w:i/>
          <w:lang w:val="en-US"/>
        </w:rPr>
        <w:t xml:space="preserve">The Commission shall be responsible for matters specified in sections 15, 17, 18, 21 and 22 and shall, in addition – </w:t>
      </w:r>
    </w:p>
    <w:p w:rsidR="000600B8" w:rsidRPr="00B54BF0" w:rsidRDefault="000600B8" w:rsidP="00B54BF0">
      <w:pPr>
        <w:autoSpaceDE w:val="0"/>
        <w:autoSpaceDN w:val="0"/>
        <w:adjustRightInd w:val="0"/>
        <w:spacing w:line="360" w:lineRule="auto"/>
        <w:ind w:right="36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deal with complaints received from patients, their relatives and members of the public;</w:t>
      </w:r>
    </w:p>
    <w:p w:rsidR="000600B8" w:rsidRPr="00B54BF0" w:rsidRDefault="000600B8" w:rsidP="00B54BF0">
      <w:pPr>
        <w:autoSpaceDE w:val="0"/>
        <w:autoSpaceDN w:val="0"/>
        <w:adjustRightInd w:val="0"/>
        <w:spacing w:line="360" w:lineRule="auto"/>
        <w:ind w:left="1260" w:right="360" w:hanging="54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investigate any breach or suspected breach of discipline, professional misconduct and violation of human rights or patients’ rights;</w:t>
      </w:r>
    </w:p>
    <w:p w:rsidR="000600B8" w:rsidRPr="00B54BF0" w:rsidRDefault="000600B8" w:rsidP="00B54BF0">
      <w:pPr>
        <w:autoSpaceDE w:val="0"/>
        <w:autoSpaceDN w:val="0"/>
        <w:adjustRightInd w:val="0"/>
        <w:spacing w:line="360" w:lineRule="auto"/>
        <w:ind w:left="1260" w:right="360" w:hanging="54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 xml:space="preserve">determine, on the basis of evidence, whether the complaints and charges against a medical officer or </w:t>
      </w:r>
      <w:r w:rsidR="00471081" w:rsidRPr="00B54BF0">
        <w:rPr>
          <w:rFonts w:cs="Times New Roman"/>
          <w:i/>
          <w:lang w:val="en-US"/>
        </w:rPr>
        <w:t>psychiatrist</w:t>
      </w:r>
      <w:r w:rsidRPr="00B54BF0">
        <w:rPr>
          <w:rFonts w:cs="Times New Roman"/>
          <w:i/>
          <w:lang w:val="en-US"/>
        </w:rPr>
        <w:t>, any other officer, or any other person, have been proved;</w:t>
      </w:r>
    </w:p>
    <w:p w:rsidR="000600B8" w:rsidRPr="00B54BF0" w:rsidRDefault="000600B8" w:rsidP="00B54BF0">
      <w:pPr>
        <w:autoSpaceDE w:val="0"/>
        <w:autoSpaceDN w:val="0"/>
        <w:adjustRightInd w:val="0"/>
        <w:spacing w:line="360" w:lineRule="auto"/>
        <w:ind w:left="1260" w:right="360" w:hanging="54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refer to the police any suspected criminal offence under this Act;</w:t>
      </w:r>
    </w:p>
    <w:p w:rsidR="000600B8" w:rsidRPr="00B54BF0" w:rsidRDefault="000600B8" w:rsidP="00B54BF0">
      <w:pPr>
        <w:autoSpaceDE w:val="0"/>
        <w:autoSpaceDN w:val="0"/>
        <w:adjustRightInd w:val="0"/>
        <w:spacing w:line="360" w:lineRule="auto"/>
        <w:ind w:left="1260" w:right="360" w:hanging="54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 xml:space="preserve">refer any matter under paragraphs (a) to (d) and (g) to the Ministry; </w:t>
      </w:r>
    </w:p>
    <w:p w:rsidR="000600B8" w:rsidRPr="00B54BF0" w:rsidRDefault="000600B8" w:rsidP="00B54BF0">
      <w:pPr>
        <w:autoSpaceDE w:val="0"/>
        <w:autoSpaceDN w:val="0"/>
        <w:adjustRightInd w:val="0"/>
        <w:spacing w:line="360" w:lineRule="auto"/>
        <w:ind w:left="1260" w:right="360" w:hanging="54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notify the Board, after an enquiry, of any breach or violation of human rights;</w:t>
      </w:r>
    </w:p>
    <w:p w:rsidR="000600B8" w:rsidRPr="00B54BF0" w:rsidRDefault="000600B8" w:rsidP="00B54BF0">
      <w:pPr>
        <w:spacing w:line="360" w:lineRule="auto"/>
        <w:ind w:left="1260" w:hanging="54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review matters relating to admission, treatment, leave, discharge and continued treatment of security patients who are unfit to stand trial by reason of mental disorder or who have been found not to be guilty by reason of mental disorder; and</w:t>
      </w:r>
    </w:p>
    <w:p w:rsidR="000600B8" w:rsidRPr="00B54BF0" w:rsidRDefault="000600B8" w:rsidP="00B54BF0">
      <w:pPr>
        <w:spacing w:line="360" w:lineRule="auto"/>
        <w:ind w:left="1260" w:hanging="540"/>
        <w:jc w:val="both"/>
        <w:rPr>
          <w:rFonts w:cs="Times New Roman"/>
          <w:i/>
          <w:lang w:val="en-US"/>
        </w:rPr>
      </w:pPr>
    </w:p>
    <w:p w:rsidR="000600B8" w:rsidRPr="00B54BF0" w:rsidRDefault="000600B8" w:rsidP="00B54BF0">
      <w:pPr>
        <w:numPr>
          <w:ilvl w:val="0"/>
          <w:numId w:val="7"/>
        </w:numPr>
        <w:autoSpaceDE w:val="0"/>
        <w:autoSpaceDN w:val="0"/>
        <w:adjustRightInd w:val="0"/>
        <w:spacing w:line="360" w:lineRule="auto"/>
        <w:ind w:left="1260" w:right="360" w:hanging="540"/>
        <w:jc w:val="both"/>
        <w:rPr>
          <w:rFonts w:cs="Times New Roman"/>
          <w:i/>
          <w:lang w:val="en-US"/>
        </w:rPr>
      </w:pPr>
      <w:r w:rsidRPr="00B54BF0">
        <w:rPr>
          <w:rFonts w:cs="Times New Roman"/>
          <w:i/>
          <w:lang w:val="en-US"/>
        </w:rPr>
        <w:t>oversee the proper functioning of the Accounts Committee.</w:t>
      </w:r>
    </w:p>
    <w:p w:rsidR="000600B8" w:rsidRPr="00B54BF0" w:rsidRDefault="000600B8" w:rsidP="00B54BF0">
      <w:pPr>
        <w:autoSpaceDE w:val="0"/>
        <w:autoSpaceDN w:val="0"/>
        <w:adjustRightInd w:val="0"/>
        <w:spacing w:line="360" w:lineRule="auto"/>
        <w:ind w:right="360"/>
        <w:jc w:val="both"/>
        <w:rPr>
          <w:rFonts w:cs="Times New Roman"/>
          <w:i/>
          <w:lang w:val="en-US"/>
        </w:rPr>
      </w:pPr>
    </w:p>
    <w:p w:rsidR="000600B8" w:rsidRPr="00B54BF0" w:rsidRDefault="000600B8" w:rsidP="00B54BF0">
      <w:pPr>
        <w:numPr>
          <w:ilvl w:val="0"/>
          <w:numId w:val="8"/>
        </w:numPr>
        <w:autoSpaceDE w:val="0"/>
        <w:autoSpaceDN w:val="0"/>
        <w:adjustRightInd w:val="0"/>
        <w:spacing w:line="360" w:lineRule="auto"/>
        <w:ind w:left="0" w:right="360" w:firstLine="360"/>
        <w:jc w:val="both"/>
        <w:rPr>
          <w:rFonts w:cs="Times New Roman"/>
          <w:i/>
          <w:lang w:val="en-US"/>
        </w:rPr>
      </w:pPr>
      <w:r w:rsidRPr="00B54BF0">
        <w:rPr>
          <w:rFonts w:cs="Times New Roman"/>
          <w:i/>
        </w:rPr>
        <w:t xml:space="preserve">Where the Commission receives a complaint that a patient is being admitted or </w:t>
      </w:r>
      <w:r w:rsidRPr="00B54BF0">
        <w:rPr>
          <w:rFonts w:cs="Times New Roman"/>
          <w:i/>
          <w:lang w:val="en-US"/>
        </w:rPr>
        <w:t xml:space="preserve">kept at a </w:t>
      </w:r>
      <w:proofErr w:type="spellStart"/>
      <w:r w:rsidRPr="00B54BF0">
        <w:rPr>
          <w:rFonts w:cs="Times New Roman"/>
          <w:i/>
          <w:lang w:val="en-US"/>
        </w:rPr>
        <w:t>centre</w:t>
      </w:r>
      <w:proofErr w:type="spellEnd"/>
      <w:r w:rsidRPr="00B54BF0">
        <w:rPr>
          <w:rFonts w:cs="Times New Roman"/>
          <w:i/>
          <w:lang w:val="en-US"/>
        </w:rPr>
        <w:t xml:space="preserve"> against his will, the Commission shall inquire into it immediately.</w:t>
      </w:r>
    </w:p>
    <w:p w:rsidR="000600B8" w:rsidRPr="00B54BF0" w:rsidRDefault="000600B8" w:rsidP="00B54BF0">
      <w:pPr>
        <w:autoSpaceDE w:val="0"/>
        <w:autoSpaceDN w:val="0"/>
        <w:adjustRightInd w:val="0"/>
        <w:spacing w:line="360" w:lineRule="auto"/>
        <w:ind w:left="360" w:right="360"/>
        <w:jc w:val="both"/>
        <w:rPr>
          <w:rFonts w:cs="Times New Roman"/>
          <w:i/>
          <w:lang w:val="en-US"/>
        </w:rPr>
      </w:pPr>
    </w:p>
    <w:p w:rsidR="000600B8" w:rsidRPr="00B54BF0" w:rsidRDefault="000600B8" w:rsidP="00B54BF0">
      <w:pPr>
        <w:numPr>
          <w:ilvl w:val="0"/>
          <w:numId w:val="8"/>
        </w:numPr>
        <w:autoSpaceDE w:val="0"/>
        <w:autoSpaceDN w:val="0"/>
        <w:adjustRightInd w:val="0"/>
        <w:spacing w:line="360" w:lineRule="auto"/>
        <w:ind w:left="0" w:right="360" w:firstLine="360"/>
        <w:jc w:val="both"/>
        <w:rPr>
          <w:rFonts w:cs="Times New Roman"/>
          <w:i/>
          <w:lang w:val="en-US"/>
        </w:rPr>
      </w:pPr>
      <w:r w:rsidRPr="00B54BF0">
        <w:rPr>
          <w:rFonts w:cs="Times New Roman"/>
          <w:i/>
          <w:lang w:val="en-US"/>
        </w:rPr>
        <w:lastRenderedPageBreak/>
        <w:t>The law of evidence shall apply to the proceedings before the Commission.</w:t>
      </w:r>
    </w:p>
    <w:p w:rsidR="000600B8" w:rsidRPr="00B54BF0" w:rsidRDefault="000600B8" w:rsidP="00B54BF0">
      <w:pPr>
        <w:autoSpaceDE w:val="0"/>
        <w:autoSpaceDN w:val="0"/>
        <w:adjustRightInd w:val="0"/>
        <w:spacing w:line="360" w:lineRule="auto"/>
        <w:ind w:left="360" w:right="360"/>
        <w:jc w:val="both"/>
        <w:rPr>
          <w:rFonts w:cs="Times New Roman"/>
          <w:i/>
          <w:lang w:val="en-US"/>
        </w:rPr>
      </w:pPr>
    </w:p>
    <w:p w:rsidR="000600B8" w:rsidRPr="00B54BF0" w:rsidRDefault="000600B8" w:rsidP="00B54BF0">
      <w:pPr>
        <w:numPr>
          <w:ilvl w:val="0"/>
          <w:numId w:val="8"/>
        </w:numPr>
        <w:autoSpaceDE w:val="0"/>
        <w:autoSpaceDN w:val="0"/>
        <w:adjustRightInd w:val="0"/>
        <w:spacing w:line="360" w:lineRule="auto"/>
        <w:ind w:left="0" w:right="360" w:firstLine="360"/>
        <w:jc w:val="both"/>
        <w:rPr>
          <w:rFonts w:cs="Times New Roman"/>
          <w:i/>
          <w:lang w:val="en-US"/>
        </w:rPr>
      </w:pPr>
      <w:r w:rsidRPr="00B54BF0">
        <w:rPr>
          <w:rFonts w:cs="Times New Roman"/>
          <w:i/>
          <w:lang w:val="en-US"/>
        </w:rPr>
        <w:t xml:space="preserve">The Commission may – </w:t>
      </w:r>
    </w:p>
    <w:p w:rsidR="000600B8" w:rsidRPr="00B54BF0" w:rsidRDefault="000600B8" w:rsidP="00B54BF0">
      <w:pPr>
        <w:spacing w:line="360" w:lineRule="auto"/>
        <w:ind w:left="1134" w:right="360" w:hanging="1134"/>
        <w:jc w:val="both"/>
        <w:rPr>
          <w:rFonts w:cs="Times New Roman"/>
          <w:i/>
          <w:lang w:val="en-US"/>
        </w:rPr>
      </w:pPr>
    </w:p>
    <w:p w:rsidR="000600B8" w:rsidRPr="00B54BF0" w:rsidRDefault="000600B8" w:rsidP="00B54BF0">
      <w:pPr>
        <w:spacing w:line="360" w:lineRule="auto"/>
        <w:ind w:left="1170" w:right="360" w:hanging="450"/>
        <w:jc w:val="both"/>
        <w:rPr>
          <w:rFonts w:cs="Times New Roman"/>
          <w:i/>
          <w:lang w:val="en-US"/>
        </w:rPr>
      </w:pPr>
      <w:r w:rsidRPr="00B54BF0">
        <w:rPr>
          <w:rFonts w:cs="Times New Roman"/>
          <w:i/>
          <w:lang w:val="en-US"/>
        </w:rPr>
        <w:t>(a)</w:t>
      </w:r>
      <w:r w:rsidRPr="00B54BF0">
        <w:rPr>
          <w:rFonts w:cs="Times New Roman"/>
          <w:i/>
          <w:lang w:val="en-US"/>
        </w:rPr>
        <w:tab/>
        <w:t>require, in writing, any person to appear before it to give evidence or produce such document or article as it may require;</w:t>
      </w:r>
    </w:p>
    <w:p w:rsidR="000600B8" w:rsidRPr="00B54BF0" w:rsidRDefault="000600B8" w:rsidP="00B54BF0">
      <w:pPr>
        <w:spacing w:line="360" w:lineRule="auto"/>
        <w:ind w:left="1170" w:right="360" w:hanging="450"/>
        <w:jc w:val="both"/>
        <w:rPr>
          <w:rFonts w:cs="Times New Roman"/>
          <w:i/>
          <w:lang w:val="en-US"/>
        </w:rPr>
      </w:pPr>
    </w:p>
    <w:p w:rsidR="000600B8" w:rsidRPr="00B54BF0" w:rsidRDefault="000600B8" w:rsidP="00B54BF0">
      <w:pPr>
        <w:spacing w:line="360" w:lineRule="auto"/>
        <w:ind w:left="1170" w:right="360" w:hanging="450"/>
        <w:jc w:val="both"/>
        <w:rPr>
          <w:rFonts w:cs="Times New Roman"/>
          <w:i/>
          <w:lang w:val="en-US"/>
        </w:rPr>
      </w:pPr>
      <w:r w:rsidRPr="00B54BF0">
        <w:rPr>
          <w:rFonts w:cs="Times New Roman"/>
          <w:i/>
          <w:lang w:val="en-US"/>
        </w:rPr>
        <w:t>(b)</w:t>
      </w:r>
      <w:r w:rsidRPr="00B54BF0">
        <w:rPr>
          <w:rFonts w:cs="Times New Roman"/>
          <w:i/>
          <w:lang w:val="en-US"/>
        </w:rPr>
        <w:tab/>
        <w:t>take evidence on oath and, for that purpose, administer an oath.</w:t>
      </w:r>
    </w:p>
    <w:p w:rsidR="000600B8" w:rsidRPr="00B54BF0" w:rsidRDefault="000600B8" w:rsidP="00B54BF0">
      <w:pPr>
        <w:spacing w:line="360" w:lineRule="auto"/>
        <w:ind w:left="1134" w:right="360" w:hanging="1134"/>
        <w:jc w:val="both"/>
        <w:rPr>
          <w:rFonts w:cs="Times New Roman"/>
          <w:i/>
          <w:lang w:val="en-US"/>
        </w:rPr>
      </w:pPr>
    </w:p>
    <w:p w:rsidR="000600B8" w:rsidRPr="00B54BF0" w:rsidRDefault="000600B8" w:rsidP="00B54BF0">
      <w:pPr>
        <w:numPr>
          <w:ilvl w:val="0"/>
          <w:numId w:val="8"/>
        </w:numPr>
        <w:autoSpaceDE w:val="0"/>
        <w:autoSpaceDN w:val="0"/>
        <w:adjustRightInd w:val="0"/>
        <w:spacing w:line="360" w:lineRule="auto"/>
        <w:ind w:left="0" w:right="360" w:firstLine="360"/>
        <w:jc w:val="both"/>
        <w:rPr>
          <w:rFonts w:cs="Times New Roman"/>
          <w:i/>
          <w:lang w:val="en-US"/>
        </w:rPr>
      </w:pPr>
      <w:r w:rsidRPr="00B54BF0">
        <w:rPr>
          <w:rFonts w:cs="Times New Roman"/>
          <w:i/>
          <w:lang w:val="en-US"/>
        </w:rPr>
        <w:t>The Commission shall, after conducting an enquiry, forward to the Board, not later than 14 days after completion of the proceedings, its report and a copy of the proceedings, including any document or exhibit produced.</w:t>
      </w:r>
    </w:p>
    <w:p w:rsidR="000600B8" w:rsidRPr="00B54BF0" w:rsidRDefault="000600B8" w:rsidP="00B54BF0">
      <w:pPr>
        <w:autoSpaceDE w:val="0"/>
        <w:autoSpaceDN w:val="0"/>
        <w:adjustRightInd w:val="0"/>
        <w:spacing w:line="360" w:lineRule="auto"/>
        <w:ind w:left="360" w:right="360"/>
        <w:jc w:val="both"/>
        <w:rPr>
          <w:rFonts w:cs="Times New Roman"/>
          <w:i/>
          <w:lang w:val="en-US"/>
        </w:rPr>
      </w:pPr>
    </w:p>
    <w:p w:rsidR="000600B8" w:rsidRPr="00B54BF0" w:rsidRDefault="000600B8" w:rsidP="00B54BF0">
      <w:pPr>
        <w:numPr>
          <w:ilvl w:val="0"/>
          <w:numId w:val="8"/>
        </w:numPr>
        <w:autoSpaceDE w:val="0"/>
        <w:autoSpaceDN w:val="0"/>
        <w:adjustRightInd w:val="0"/>
        <w:spacing w:line="360" w:lineRule="auto"/>
        <w:ind w:left="0" w:right="360" w:firstLine="360"/>
        <w:jc w:val="both"/>
        <w:rPr>
          <w:rFonts w:cs="Times New Roman"/>
          <w:i/>
        </w:rPr>
      </w:pPr>
      <w:r w:rsidRPr="00B54BF0">
        <w:rPr>
          <w:rFonts w:cs="Times New Roman"/>
          <w:i/>
          <w:lang w:val="en-US"/>
        </w:rPr>
        <w:t>The Commission</w:t>
      </w:r>
      <w:r w:rsidRPr="00B54BF0">
        <w:rPr>
          <w:rFonts w:cs="Times New Roman"/>
          <w:i/>
        </w:rPr>
        <w:t xml:space="preserve"> shall – </w:t>
      </w:r>
    </w:p>
    <w:p w:rsidR="000600B8" w:rsidRPr="00B54BF0" w:rsidRDefault="000600B8" w:rsidP="00B54BF0">
      <w:pPr>
        <w:autoSpaceDE w:val="0"/>
        <w:autoSpaceDN w:val="0"/>
        <w:adjustRightInd w:val="0"/>
        <w:spacing w:line="360" w:lineRule="auto"/>
        <w:ind w:right="360"/>
        <w:jc w:val="both"/>
        <w:rPr>
          <w:rFonts w:cs="Times New Roman"/>
          <w:i/>
        </w:rPr>
      </w:pPr>
    </w:p>
    <w:p w:rsidR="000600B8" w:rsidRPr="00B54BF0" w:rsidRDefault="000600B8" w:rsidP="00B54BF0">
      <w:pPr>
        <w:autoSpaceDE w:val="0"/>
        <w:autoSpaceDN w:val="0"/>
        <w:adjustRightInd w:val="0"/>
        <w:spacing w:line="360" w:lineRule="auto"/>
        <w:ind w:left="1170" w:right="360" w:hanging="450"/>
        <w:jc w:val="both"/>
        <w:rPr>
          <w:rFonts w:cs="Times New Roman"/>
          <w:i/>
        </w:rPr>
      </w:pPr>
      <w:r w:rsidRPr="00B54BF0">
        <w:rPr>
          <w:rFonts w:cs="Times New Roman"/>
          <w:i/>
        </w:rPr>
        <w:t>(a)</w:t>
      </w:r>
      <w:r w:rsidRPr="00B54BF0">
        <w:rPr>
          <w:rFonts w:cs="Times New Roman"/>
          <w:i/>
        </w:rPr>
        <w:tab/>
        <w:t>keep a record of all its proceedings and decisions;</w:t>
      </w:r>
    </w:p>
    <w:p w:rsidR="000600B8" w:rsidRPr="00B54BF0" w:rsidRDefault="000600B8" w:rsidP="00B54BF0">
      <w:pPr>
        <w:autoSpaceDE w:val="0"/>
        <w:autoSpaceDN w:val="0"/>
        <w:adjustRightInd w:val="0"/>
        <w:spacing w:line="360" w:lineRule="auto"/>
        <w:ind w:left="1170" w:right="360" w:hanging="450"/>
        <w:jc w:val="both"/>
        <w:rPr>
          <w:rFonts w:cs="Times New Roman"/>
          <w:i/>
        </w:rPr>
      </w:pPr>
    </w:p>
    <w:p w:rsidR="000600B8" w:rsidRPr="00B54BF0" w:rsidRDefault="000600B8" w:rsidP="00B54BF0">
      <w:pPr>
        <w:autoSpaceDE w:val="0"/>
        <w:autoSpaceDN w:val="0"/>
        <w:adjustRightInd w:val="0"/>
        <w:spacing w:line="360" w:lineRule="auto"/>
        <w:ind w:left="1170" w:right="360" w:hanging="450"/>
        <w:jc w:val="both"/>
        <w:rPr>
          <w:rFonts w:cs="Times New Roman"/>
          <w:i/>
        </w:rPr>
      </w:pPr>
      <w:r w:rsidRPr="00B54BF0">
        <w:rPr>
          <w:rFonts w:cs="Times New Roman"/>
          <w:i/>
        </w:rPr>
        <w:t>(b)</w:t>
      </w:r>
      <w:r w:rsidRPr="00B54BF0">
        <w:rPr>
          <w:rFonts w:cs="Times New Roman"/>
          <w:i/>
        </w:rPr>
        <w:tab/>
        <w:t>every 6 months, furnish to the Board a report of all its decisions and such other information as the Board may require.</w:t>
      </w:r>
    </w:p>
    <w:p w:rsidR="000600B8" w:rsidRPr="00B54BF0" w:rsidRDefault="000600B8" w:rsidP="00B54BF0">
      <w:pPr>
        <w:autoSpaceDE w:val="0"/>
        <w:autoSpaceDN w:val="0"/>
        <w:adjustRightInd w:val="0"/>
        <w:spacing w:line="360" w:lineRule="auto"/>
        <w:ind w:right="360" w:firstLine="720"/>
        <w:jc w:val="both"/>
        <w:rPr>
          <w:rFonts w:cs="Times New Roman"/>
          <w:b/>
          <w:i/>
          <w:lang w:val="en-US"/>
        </w:rPr>
      </w:pPr>
    </w:p>
    <w:p w:rsidR="000600B8" w:rsidRPr="00B54BF0" w:rsidRDefault="000600B8" w:rsidP="00B54BF0">
      <w:pPr>
        <w:tabs>
          <w:tab w:val="left" w:pos="450"/>
        </w:tabs>
        <w:autoSpaceDE w:val="0"/>
        <w:autoSpaceDN w:val="0"/>
        <w:adjustRightInd w:val="0"/>
        <w:spacing w:line="360" w:lineRule="auto"/>
        <w:ind w:right="360"/>
        <w:jc w:val="both"/>
        <w:rPr>
          <w:rFonts w:cs="Times New Roman"/>
          <w:b/>
          <w:i/>
          <w:lang w:val="en-US"/>
        </w:rPr>
      </w:pPr>
      <w:r w:rsidRPr="00B54BF0">
        <w:rPr>
          <w:rFonts w:cs="Times New Roman"/>
          <w:b/>
          <w:i/>
          <w:lang w:val="en-US"/>
        </w:rPr>
        <w:t>6A.</w:t>
      </w:r>
      <w:r w:rsidRPr="00B54BF0">
        <w:rPr>
          <w:rFonts w:cs="Times New Roman"/>
          <w:b/>
          <w:i/>
          <w:lang w:val="en-US"/>
        </w:rPr>
        <w:tab/>
        <w:t>Managerial Committee</w:t>
      </w:r>
    </w:p>
    <w:p w:rsidR="000600B8" w:rsidRPr="00B54BF0" w:rsidRDefault="000600B8" w:rsidP="00B54BF0">
      <w:pPr>
        <w:autoSpaceDE w:val="0"/>
        <w:autoSpaceDN w:val="0"/>
        <w:adjustRightInd w:val="0"/>
        <w:spacing w:line="360" w:lineRule="auto"/>
        <w:ind w:right="360"/>
        <w:jc w:val="both"/>
        <w:rPr>
          <w:rFonts w:cs="Times New Roman"/>
          <w:i/>
          <w:lang w:val="en-US"/>
        </w:rPr>
      </w:pPr>
    </w:p>
    <w:p w:rsidR="000600B8" w:rsidRPr="00B54BF0" w:rsidRDefault="000600B8" w:rsidP="00B54BF0">
      <w:pPr>
        <w:numPr>
          <w:ilvl w:val="0"/>
          <w:numId w:val="9"/>
        </w:numPr>
        <w:tabs>
          <w:tab w:val="left" w:pos="990"/>
        </w:tabs>
        <w:autoSpaceDE w:val="0"/>
        <w:autoSpaceDN w:val="0"/>
        <w:adjustRightInd w:val="0"/>
        <w:spacing w:line="360" w:lineRule="auto"/>
        <w:ind w:left="0" w:right="360" w:firstLine="450"/>
        <w:jc w:val="both"/>
        <w:rPr>
          <w:rFonts w:cs="Times New Roman"/>
          <w:i/>
          <w:lang w:val="en-US"/>
        </w:rPr>
      </w:pPr>
      <w:r w:rsidRPr="00B54BF0">
        <w:rPr>
          <w:rFonts w:cs="Times New Roman"/>
          <w:i/>
          <w:lang w:val="en-US"/>
        </w:rPr>
        <w:t>There shall be for the purposes of this Act a Managerial Committee.</w:t>
      </w:r>
    </w:p>
    <w:p w:rsidR="000600B8" w:rsidRPr="00B54BF0" w:rsidRDefault="000600B8" w:rsidP="00B54BF0">
      <w:pPr>
        <w:tabs>
          <w:tab w:val="left" w:pos="990"/>
        </w:tabs>
        <w:autoSpaceDE w:val="0"/>
        <w:autoSpaceDN w:val="0"/>
        <w:adjustRightInd w:val="0"/>
        <w:spacing w:line="360" w:lineRule="auto"/>
        <w:ind w:right="360" w:firstLine="450"/>
        <w:jc w:val="both"/>
        <w:rPr>
          <w:rFonts w:cs="Times New Roman"/>
          <w:i/>
          <w:lang w:val="en-US"/>
        </w:rPr>
      </w:pPr>
    </w:p>
    <w:p w:rsidR="000600B8" w:rsidRPr="00B54BF0" w:rsidRDefault="000600B8" w:rsidP="00B54BF0">
      <w:pPr>
        <w:autoSpaceDE w:val="0"/>
        <w:autoSpaceDN w:val="0"/>
        <w:adjustRightInd w:val="0"/>
        <w:spacing w:line="360" w:lineRule="auto"/>
        <w:ind w:right="360"/>
        <w:jc w:val="both"/>
        <w:rPr>
          <w:rFonts w:cs="Times New Roman"/>
          <w:i/>
          <w:lang w:val="en-US"/>
        </w:rPr>
      </w:pPr>
      <w:r w:rsidRPr="00B54BF0">
        <w:rPr>
          <w:rFonts w:cs="Times New Roman"/>
          <w:i/>
          <w:lang w:val="en-US"/>
        </w:rPr>
        <w:t>[…]</w:t>
      </w:r>
    </w:p>
    <w:p w:rsidR="000600B8" w:rsidRPr="00B54BF0" w:rsidRDefault="000600B8" w:rsidP="00B54BF0">
      <w:pPr>
        <w:tabs>
          <w:tab w:val="left" w:pos="450"/>
        </w:tabs>
        <w:autoSpaceDE w:val="0"/>
        <w:autoSpaceDN w:val="0"/>
        <w:adjustRightInd w:val="0"/>
        <w:spacing w:line="360" w:lineRule="auto"/>
        <w:ind w:right="360"/>
        <w:jc w:val="both"/>
        <w:rPr>
          <w:rFonts w:cs="Times New Roman"/>
          <w:b/>
          <w:i/>
          <w:lang w:val="en-US"/>
        </w:rPr>
      </w:pPr>
      <w:r w:rsidRPr="00B54BF0">
        <w:rPr>
          <w:rFonts w:cs="Times New Roman"/>
          <w:b/>
          <w:i/>
          <w:lang w:val="en-US"/>
        </w:rPr>
        <w:t>6B.</w:t>
      </w:r>
      <w:r w:rsidRPr="00B54BF0">
        <w:rPr>
          <w:rFonts w:cs="Times New Roman"/>
          <w:b/>
          <w:i/>
          <w:lang w:val="en-US"/>
        </w:rPr>
        <w:tab/>
        <w:t>Functions of Managerial Committee</w:t>
      </w:r>
    </w:p>
    <w:p w:rsidR="000600B8" w:rsidRPr="00B54BF0" w:rsidRDefault="000600B8" w:rsidP="00B54BF0">
      <w:pPr>
        <w:autoSpaceDE w:val="0"/>
        <w:autoSpaceDN w:val="0"/>
        <w:adjustRightInd w:val="0"/>
        <w:spacing w:line="360" w:lineRule="auto"/>
        <w:ind w:right="360"/>
        <w:jc w:val="both"/>
        <w:rPr>
          <w:rFonts w:cs="Times New Roman"/>
          <w:i/>
          <w:lang w:val="en-US"/>
        </w:rPr>
      </w:pPr>
    </w:p>
    <w:p w:rsidR="000600B8" w:rsidRPr="00B54BF0" w:rsidRDefault="000600B8" w:rsidP="00B54BF0">
      <w:pPr>
        <w:autoSpaceDE w:val="0"/>
        <w:autoSpaceDN w:val="0"/>
        <w:adjustRightInd w:val="0"/>
        <w:spacing w:line="360" w:lineRule="auto"/>
        <w:ind w:left="450" w:right="360"/>
        <w:jc w:val="both"/>
        <w:rPr>
          <w:rFonts w:cs="Times New Roman"/>
          <w:i/>
          <w:lang w:val="en-US"/>
        </w:rPr>
      </w:pPr>
      <w:r w:rsidRPr="00B54BF0">
        <w:rPr>
          <w:rFonts w:cs="Times New Roman"/>
          <w:i/>
          <w:lang w:val="en-US"/>
        </w:rPr>
        <w:t xml:space="preserve">The Managerial Committee shall – </w:t>
      </w:r>
    </w:p>
    <w:p w:rsidR="000600B8" w:rsidRPr="00B54BF0" w:rsidRDefault="000600B8" w:rsidP="00B54BF0">
      <w:pPr>
        <w:autoSpaceDE w:val="0"/>
        <w:autoSpaceDN w:val="0"/>
        <w:adjustRightInd w:val="0"/>
        <w:spacing w:line="360" w:lineRule="auto"/>
        <w:ind w:right="360"/>
        <w:jc w:val="both"/>
        <w:rPr>
          <w:rFonts w:cs="Times New Roman"/>
          <w:i/>
          <w:lang w:val="en-US"/>
        </w:rPr>
      </w:pPr>
    </w:p>
    <w:p w:rsidR="000600B8" w:rsidRPr="00B54BF0" w:rsidRDefault="000600B8" w:rsidP="00B54BF0">
      <w:pPr>
        <w:numPr>
          <w:ilvl w:val="0"/>
          <w:numId w:val="11"/>
        </w:numPr>
        <w:tabs>
          <w:tab w:val="left" w:pos="900"/>
        </w:tabs>
        <w:autoSpaceDE w:val="0"/>
        <w:autoSpaceDN w:val="0"/>
        <w:adjustRightInd w:val="0"/>
        <w:spacing w:line="360" w:lineRule="auto"/>
        <w:ind w:left="1350" w:right="360" w:hanging="900"/>
        <w:jc w:val="both"/>
        <w:rPr>
          <w:rFonts w:cs="Times New Roman"/>
          <w:i/>
          <w:lang w:val="en-US"/>
        </w:rPr>
      </w:pPr>
      <w:r w:rsidRPr="00B54BF0">
        <w:rPr>
          <w:rFonts w:cs="Times New Roman"/>
          <w:i/>
          <w:lang w:val="en-US"/>
        </w:rPr>
        <w:t>subject to section 6, review matters relating to –</w:t>
      </w:r>
    </w:p>
    <w:p w:rsidR="000600B8" w:rsidRPr="00B54BF0" w:rsidRDefault="000600B8" w:rsidP="00B54BF0">
      <w:pPr>
        <w:autoSpaceDE w:val="0"/>
        <w:autoSpaceDN w:val="0"/>
        <w:adjustRightInd w:val="0"/>
        <w:spacing w:line="360" w:lineRule="auto"/>
        <w:ind w:left="2160" w:right="360"/>
        <w:jc w:val="both"/>
        <w:rPr>
          <w:rFonts w:cs="Times New Roman"/>
          <w:i/>
          <w:lang w:val="en-US"/>
        </w:rPr>
      </w:pPr>
    </w:p>
    <w:p w:rsidR="000600B8" w:rsidRPr="00B54BF0" w:rsidRDefault="000600B8" w:rsidP="00B54BF0">
      <w:pPr>
        <w:autoSpaceDE w:val="0"/>
        <w:autoSpaceDN w:val="0"/>
        <w:adjustRightInd w:val="0"/>
        <w:spacing w:line="360" w:lineRule="auto"/>
        <w:ind w:left="1530" w:right="360" w:hanging="630"/>
        <w:jc w:val="both"/>
        <w:rPr>
          <w:rFonts w:cs="Times New Roman"/>
          <w:i/>
          <w:lang w:val="en-US"/>
        </w:rPr>
      </w:pPr>
      <w:r w:rsidRPr="00B54BF0">
        <w:rPr>
          <w:rFonts w:cs="Times New Roman"/>
          <w:i/>
          <w:lang w:val="en-US"/>
        </w:rPr>
        <w:lastRenderedPageBreak/>
        <w:t>(</w:t>
      </w:r>
      <w:proofErr w:type="spellStart"/>
      <w:r w:rsidRPr="00B54BF0">
        <w:rPr>
          <w:rFonts w:cs="Times New Roman"/>
          <w:i/>
          <w:lang w:val="en-US"/>
        </w:rPr>
        <w:t>i</w:t>
      </w:r>
      <w:proofErr w:type="spellEnd"/>
      <w:r w:rsidRPr="00B54BF0">
        <w:rPr>
          <w:rFonts w:cs="Times New Roman"/>
          <w:i/>
          <w:lang w:val="en-US"/>
        </w:rPr>
        <w:t>)</w:t>
      </w:r>
      <w:r w:rsidRPr="00B54BF0">
        <w:rPr>
          <w:rFonts w:cs="Times New Roman"/>
          <w:i/>
          <w:lang w:val="en-US"/>
        </w:rPr>
        <w:tab/>
        <w:t>the admission and discharge of security patients who are suspected of having committed a criminal offence or who are in the custody of the police or are detainees in a reform institution referred to in the Reform Institutions Act;</w:t>
      </w:r>
    </w:p>
    <w:p w:rsidR="000600B8" w:rsidRPr="00B54BF0" w:rsidRDefault="000600B8" w:rsidP="00B54BF0">
      <w:pPr>
        <w:autoSpaceDE w:val="0"/>
        <w:autoSpaceDN w:val="0"/>
        <w:adjustRightInd w:val="0"/>
        <w:spacing w:line="360" w:lineRule="auto"/>
        <w:ind w:left="1530" w:right="360" w:hanging="630"/>
        <w:jc w:val="both"/>
        <w:rPr>
          <w:rFonts w:cs="Times New Roman"/>
          <w:i/>
          <w:lang w:val="en-US"/>
        </w:rPr>
      </w:pPr>
    </w:p>
    <w:p w:rsidR="000600B8" w:rsidRPr="00B54BF0" w:rsidRDefault="000600B8" w:rsidP="00B54BF0">
      <w:pPr>
        <w:autoSpaceDE w:val="0"/>
        <w:autoSpaceDN w:val="0"/>
        <w:adjustRightInd w:val="0"/>
        <w:spacing w:line="360" w:lineRule="auto"/>
        <w:ind w:left="1530" w:right="360" w:hanging="630"/>
        <w:jc w:val="both"/>
        <w:rPr>
          <w:rFonts w:cs="Times New Roman"/>
          <w:i/>
          <w:lang w:val="en-US"/>
        </w:rPr>
      </w:pPr>
      <w:r w:rsidRPr="00B54BF0">
        <w:rPr>
          <w:rFonts w:cs="Times New Roman"/>
          <w:i/>
          <w:lang w:val="en-US"/>
        </w:rPr>
        <w:t>(ii)</w:t>
      </w:r>
      <w:r w:rsidRPr="00B54BF0">
        <w:rPr>
          <w:rFonts w:cs="Times New Roman"/>
          <w:i/>
          <w:lang w:val="en-US"/>
        </w:rPr>
        <w:tab/>
        <w:t>the involuntary admissions, treatment, leave, discharge and continued treatment of patients;</w:t>
      </w:r>
    </w:p>
    <w:p w:rsidR="000600B8" w:rsidRPr="00B54BF0" w:rsidRDefault="000600B8" w:rsidP="00B54BF0">
      <w:pPr>
        <w:autoSpaceDE w:val="0"/>
        <w:autoSpaceDN w:val="0"/>
        <w:adjustRightInd w:val="0"/>
        <w:spacing w:line="360" w:lineRule="auto"/>
        <w:ind w:right="360"/>
        <w:jc w:val="both"/>
        <w:rPr>
          <w:rFonts w:cs="Times New Roman"/>
          <w:i/>
          <w:lang w:val="en-US"/>
        </w:rPr>
      </w:pPr>
    </w:p>
    <w:p w:rsidR="000600B8" w:rsidRPr="00B54BF0" w:rsidRDefault="000600B8" w:rsidP="00B54BF0">
      <w:pPr>
        <w:numPr>
          <w:ilvl w:val="0"/>
          <w:numId w:val="11"/>
        </w:numPr>
        <w:tabs>
          <w:tab w:val="left" w:pos="990"/>
        </w:tabs>
        <w:autoSpaceDE w:val="0"/>
        <w:autoSpaceDN w:val="0"/>
        <w:adjustRightInd w:val="0"/>
        <w:spacing w:line="360" w:lineRule="auto"/>
        <w:ind w:left="1080" w:right="360" w:hanging="630"/>
        <w:jc w:val="both"/>
        <w:rPr>
          <w:rFonts w:cs="Times New Roman"/>
          <w:i/>
          <w:lang w:val="en-US"/>
        </w:rPr>
      </w:pPr>
      <w:r w:rsidRPr="00B54BF0">
        <w:rPr>
          <w:rFonts w:cs="Times New Roman"/>
          <w:i/>
          <w:lang w:val="en-US"/>
        </w:rPr>
        <w:t>refer to the Commission complaints of patients, relatives and visitors;</w:t>
      </w:r>
    </w:p>
    <w:p w:rsidR="000600B8" w:rsidRPr="00B54BF0" w:rsidRDefault="000600B8" w:rsidP="00B54BF0">
      <w:pPr>
        <w:tabs>
          <w:tab w:val="left" w:pos="990"/>
        </w:tabs>
        <w:autoSpaceDE w:val="0"/>
        <w:autoSpaceDN w:val="0"/>
        <w:adjustRightInd w:val="0"/>
        <w:spacing w:line="360" w:lineRule="auto"/>
        <w:ind w:left="1080" w:right="360" w:hanging="630"/>
        <w:jc w:val="both"/>
        <w:rPr>
          <w:rFonts w:cs="Times New Roman"/>
          <w:i/>
          <w:lang w:val="en-US"/>
        </w:rPr>
      </w:pPr>
    </w:p>
    <w:p w:rsidR="000600B8" w:rsidRPr="00B54BF0" w:rsidRDefault="000600B8" w:rsidP="00B54BF0">
      <w:pPr>
        <w:numPr>
          <w:ilvl w:val="0"/>
          <w:numId w:val="11"/>
        </w:numPr>
        <w:tabs>
          <w:tab w:val="left" w:pos="990"/>
        </w:tabs>
        <w:autoSpaceDE w:val="0"/>
        <w:autoSpaceDN w:val="0"/>
        <w:adjustRightInd w:val="0"/>
        <w:spacing w:line="360" w:lineRule="auto"/>
        <w:ind w:left="1080" w:right="360" w:hanging="630"/>
        <w:jc w:val="both"/>
        <w:rPr>
          <w:rFonts w:cs="Times New Roman"/>
          <w:i/>
          <w:lang w:val="en-US"/>
        </w:rPr>
      </w:pPr>
      <w:r w:rsidRPr="00B54BF0">
        <w:rPr>
          <w:rFonts w:cs="Times New Roman"/>
          <w:i/>
          <w:lang w:val="en-US"/>
        </w:rPr>
        <w:t>bring to the notice of the Commission any breach or suspected breach of discipline, professional misconduct or violation of patients’ rights.</w:t>
      </w:r>
    </w:p>
    <w:p w:rsidR="00265B62" w:rsidRPr="00B54BF0" w:rsidRDefault="00265B62" w:rsidP="00B54BF0">
      <w:pPr>
        <w:pStyle w:val="section"/>
        <w:spacing w:line="360" w:lineRule="auto"/>
        <w:jc w:val="both"/>
        <w:rPr>
          <w:i/>
          <w:sz w:val="24"/>
          <w:szCs w:val="24"/>
        </w:rPr>
      </w:pPr>
      <w:r w:rsidRPr="00B54BF0">
        <w:rPr>
          <w:i/>
          <w:sz w:val="24"/>
          <w:szCs w:val="24"/>
        </w:rPr>
        <w:t>7.   Examination of patient</w:t>
      </w:r>
    </w:p>
    <w:p w:rsidR="00265B62" w:rsidRPr="00B54BF0" w:rsidRDefault="00265B62" w:rsidP="00B54BF0">
      <w:pPr>
        <w:pStyle w:val="subsection"/>
        <w:spacing w:line="360" w:lineRule="auto"/>
        <w:rPr>
          <w:i/>
          <w:sz w:val="24"/>
          <w:szCs w:val="24"/>
        </w:rPr>
      </w:pPr>
      <w:r w:rsidRPr="00B54BF0">
        <w:rPr>
          <w:i/>
          <w:sz w:val="24"/>
          <w:szCs w:val="24"/>
        </w:rPr>
        <w:t>(1)  A medical officer or a psychiatrist shall examine a person where—</w:t>
      </w:r>
    </w:p>
    <w:p w:rsidR="00265B62" w:rsidRPr="00B54BF0" w:rsidRDefault="00265B62" w:rsidP="00B54BF0">
      <w:pPr>
        <w:pStyle w:val="para"/>
        <w:spacing w:line="360" w:lineRule="auto"/>
        <w:rPr>
          <w:i/>
          <w:sz w:val="24"/>
          <w:szCs w:val="24"/>
        </w:rPr>
      </w:pPr>
      <w:r w:rsidRPr="00B54BF0">
        <w:rPr>
          <w:i/>
          <w:sz w:val="24"/>
          <w:szCs w:val="24"/>
        </w:rPr>
        <w:tab/>
        <w:t>(a)</w:t>
      </w:r>
      <w:r w:rsidRPr="00B54BF0">
        <w:rPr>
          <w:i/>
          <w:sz w:val="24"/>
          <w:szCs w:val="24"/>
        </w:rPr>
        <w:tab/>
        <w:t>he appears to be suffering from a mental disorder;</w:t>
      </w:r>
    </w:p>
    <w:p w:rsidR="00265B62" w:rsidRPr="00B54BF0" w:rsidRDefault="00265B62" w:rsidP="00B54BF0">
      <w:pPr>
        <w:pStyle w:val="para"/>
        <w:spacing w:line="360" w:lineRule="auto"/>
        <w:rPr>
          <w:i/>
          <w:sz w:val="24"/>
          <w:szCs w:val="24"/>
        </w:rPr>
      </w:pPr>
      <w:r w:rsidRPr="00B54BF0">
        <w:rPr>
          <w:i/>
          <w:sz w:val="24"/>
          <w:szCs w:val="24"/>
        </w:rPr>
        <w:tab/>
        <w:t>(b)</w:t>
      </w:r>
      <w:r w:rsidRPr="00B54BF0">
        <w:rPr>
          <w:i/>
          <w:sz w:val="24"/>
          <w:szCs w:val="24"/>
        </w:rPr>
        <w:tab/>
        <w:t>his case necessitates an examination; and</w:t>
      </w:r>
    </w:p>
    <w:p w:rsidR="00265B62" w:rsidRPr="00B54BF0" w:rsidRDefault="00265B62" w:rsidP="00B54BF0">
      <w:pPr>
        <w:pStyle w:val="para"/>
        <w:spacing w:line="360" w:lineRule="auto"/>
        <w:rPr>
          <w:i/>
          <w:sz w:val="24"/>
          <w:szCs w:val="24"/>
        </w:rPr>
      </w:pPr>
      <w:r w:rsidRPr="00B54BF0">
        <w:rPr>
          <w:i/>
          <w:sz w:val="24"/>
          <w:szCs w:val="24"/>
        </w:rPr>
        <w:tab/>
        <w:t>(c)</w:t>
      </w:r>
      <w:r w:rsidRPr="00B54BF0">
        <w:rPr>
          <w:i/>
          <w:sz w:val="24"/>
          <w:szCs w:val="24"/>
        </w:rPr>
        <w:tab/>
        <w:t>he or his next of kin consents to an examination.</w:t>
      </w:r>
    </w:p>
    <w:p w:rsidR="00265B62" w:rsidRPr="00B54BF0" w:rsidRDefault="00265B62" w:rsidP="00B54BF0">
      <w:pPr>
        <w:pStyle w:val="subsection"/>
        <w:spacing w:line="360" w:lineRule="auto"/>
        <w:rPr>
          <w:i/>
          <w:sz w:val="24"/>
          <w:szCs w:val="24"/>
        </w:rPr>
      </w:pPr>
      <w:r w:rsidRPr="00B54BF0">
        <w:rPr>
          <w:i/>
          <w:sz w:val="24"/>
          <w:szCs w:val="24"/>
        </w:rPr>
        <w:t>(2)  Where the medical officer or the psychiatrist is informed, or has sufficient reason to believe, that a person has been brought to a centre coercively or against his will, he shall not admit or treat the person in a centre unless he has reasonable ground to believe that the person constitutes a danger for the safety of himself or other persons as a consequence of a mental disorder.</w:t>
      </w:r>
    </w:p>
    <w:p w:rsidR="007E55BE" w:rsidRPr="00B54BF0" w:rsidRDefault="007E55BE" w:rsidP="00B54BF0">
      <w:pPr>
        <w:spacing w:after="160" w:line="360" w:lineRule="auto"/>
        <w:jc w:val="both"/>
        <w:rPr>
          <w:rFonts w:eastAsia="Calibri" w:cs="Times New Roman"/>
          <w:i/>
          <w:lang w:val="en-US"/>
        </w:rPr>
      </w:pPr>
    </w:p>
    <w:p w:rsidR="00265B62" w:rsidRPr="00B54BF0" w:rsidRDefault="00265B62" w:rsidP="00B54BF0">
      <w:pPr>
        <w:pStyle w:val="section"/>
        <w:spacing w:line="360" w:lineRule="auto"/>
        <w:jc w:val="both"/>
        <w:rPr>
          <w:i/>
          <w:sz w:val="24"/>
          <w:szCs w:val="24"/>
        </w:rPr>
      </w:pPr>
      <w:r w:rsidRPr="00B54BF0">
        <w:rPr>
          <w:i/>
          <w:sz w:val="24"/>
          <w:szCs w:val="24"/>
        </w:rPr>
        <w:t>8.   Admission of patient</w:t>
      </w:r>
    </w:p>
    <w:p w:rsidR="00265B62" w:rsidRPr="00B54BF0" w:rsidRDefault="00265B62" w:rsidP="00B54BF0">
      <w:pPr>
        <w:pStyle w:val="subsection"/>
        <w:spacing w:line="360" w:lineRule="auto"/>
        <w:rPr>
          <w:i/>
          <w:sz w:val="24"/>
          <w:szCs w:val="24"/>
        </w:rPr>
      </w:pPr>
      <w:r w:rsidRPr="00B54BF0">
        <w:rPr>
          <w:i/>
          <w:sz w:val="24"/>
          <w:szCs w:val="24"/>
        </w:rPr>
        <w:t>No person shall be admitted in a centre unless—</w:t>
      </w:r>
    </w:p>
    <w:p w:rsidR="00265B62" w:rsidRPr="00B54BF0" w:rsidRDefault="00265B62" w:rsidP="00B54BF0">
      <w:pPr>
        <w:pStyle w:val="para"/>
        <w:spacing w:line="360" w:lineRule="auto"/>
        <w:rPr>
          <w:i/>
          <w:sz w:val="24"/>
          <w:szCs w:val="24"/>
        </w:rPr>
      </w:pPr>
      <w:r w:rsidRPr="00B54BF0">
        <w:rPr>
          <w:i/>
          <w:sz w:val="24"/>
          <w:szCs w:val="24"/>
        </w:rPr>
        <w:tab/>
        <w:t>(a)</w:t>
      </w:r>
      <w:r w:rsidRPr="00B54BF0">
        <w:rPr>
          <w:i/>
          <w:sz w:val="24"/>
          <w:szCs w:val="24"/>
        </w:rPr>
        <w:tab/>
        <w:t>he suffers from a mental disorder requiring admission; and</w:t>
      </w:r>
    </w:p>
    <w:p w:rsidR="00265B62" w:rsidRPr="00B54BF0" w:rsidRDefault="00265B62" w:rsidP="00B54BF0">
      <w:pPr>
        <w:pStyle w:val="para"/>
        <w:spacing w:line="360" w:lineRule="auto"/>
        <w:rPr>
          <w:i/>
          <w:sz w:val="24"/>
          <w:szCs w:val="24"/>
        </w:rPr>
      </w:pPr>
      <w:r w:rsidRPr="00B54BF0">
        <w:rPr>
          <w:i/>
          <w:sz w:val="24"/>
          <w:szCs w:val="24"/>
        </w:rPr>
        <w:tab/>
        <w:t>(b)</w:t>
      </w:r>
      <w:r w:rsidRPr="00B54BF0">
        <w:rPr>
          <w:i/>
          <w:sz w:val="24"/>
          <w:szCs w:val="24"/>
        </w:rPr>
        <w:tab/>
        <w:t>he or his next of kin consents to the admission.</w:t>
      </w:r>
    </w:p>
    <w:p w:rsidR="007E55BE" w:rsidRDefault="007E55BE" w:rsidP="00B54BF0">
      <w:pPr>
        <w:spacing w:after="160" w:line="360" w:lineRule="auto"/>
        <w:jc w:val="both"/>
        <w:rPr>
          <w:rFonts w:eastAsia="Calibri" w:cs="Times New Roman"/>
          <w:i/>
          <w:lang w:val="en-US"/>
        </w:rPr>
      </w:pPr>
      <w:r w:rsidRPr="00B54BF0">
        <w:rPr>
          <w:rFonts w:eastAsia="Calibri" w:cs="Times New Roman"/>
          <w:i/>
          <w:lang w:val="en-US"/>
        </w:rPr>
        <w:t> </w:t>
      </w:r>
    </w:p>
    <w:p w:rsidR="00060BDD" w:rsidRPr="00B54BF0" w:rsidRDefault="00060BDD" w:rsidP="00B54BF0">
      <w:pPr>
        <w:spacing w:after="160" w:line="360" w:lineRule="auto"/>
        <w:jc w:val="both"/>
        <w:rPr>
          <w:rFonts w:eastAsia="Calibri" w:cs="Times New Roman"/>
          <w:i/>
          <w:lang w:val="en-US"/>
        </w:rPr>
      </w:pPr>
    </w:p>
    <w:p w:rsidR="00D66EF8" w:rsidRPr="00B54BF0" w:rsidRDefault="00D66EF8" w:rsidP="00B54BF0">
      <w:pPr>
        <w:pStyle w:val="section"/>
        <w:spacing w:line="360" w:lineRule="auto"/>
        <w:jc w:val="both"/>
        <w:rPr>
          <w:i/>
          <w:sz w:val="24"/>
          <w:szCs w:val="24"/>
        </w:rPr>
      </w:pPr>
      <w:r w:rsidRPr="00B54BF0">
        <w:rPr>
          <w:i/>
          <w:sz w:val="24"/>
          <w:szCs w:val="24"/>
        </w:rPr>
        <w:lastRenderedPageBreak/>
        <w:t>13.   Procedure following admission</w:t>
      </w:r>
    </w:p>
    <w:p w:rsidR="00D66EF8" w:rsidRPr="00B54BF0" w:rsidRDefault="00D66EF8" w:rsidP="00B54BF0">
      <w:pPr>
        <w:pStyle w:val="subsection"/>
        <w:spacing w:line="360" w:lineRule="auto"/>
        <w:rPr>
          <w:i/>
          <w:sz w:val="24"/>
          <w:szCs w:val="24"/>
        </w:rPr>
      </w:pPr>
      <w:r w:rsidRPr="00B54BF0">
        <w:rPr>
          <w:i/>
          <w:sz w:val="24"/>
          <w:szCs w:val="24"/>
        </w:rPr>
        <w:t>(1)  Subject to subsection (3), the Superintendent shall, in respect of—</w:t>
      </w:r>
    </w:p>
    <w:p w:rsidR="00D66EF8" w:rsidRPr="00B54BF0" w:rsidRDefault="00D66EF8" w:rsidP="00B54BF0">
      <w:pPr>
        <w:pStyle w:val="para"/>
        <w:spacing w:line="360" w:lineRule="auto"/>
        <w:rPr>
          <w:i/>
          <w:sz w:val="24"/>
          <w:szCs w:val="24"/>
        </w:rPr>
      </w:pPr>
      <w:r w:rsidRPr="00B54BF0">
        <w:rPr>
          <w:i/>
          <w:sz w:val="24"/>
          <w:szCs w:val="24"/>
        </w:rPr>
        <w:tab/>
        <w:t>(a)</w:t>
      </w:r>
      <w:r w:rsidRPr="00B54BF0">
        <w:rPr>
          <w:i/>
          <w:sz w:val="24"/>
          <w:szCs w:val="24"/>
        </w:rPr>
        <w:tab/>
        <w:t>a security patient, within 48 hours of his admission;</w:t>
      </w:r>
    </w:p>
    <w:p w:rsidR="00D66EF8" w:rsidRPr="00B54BF0" w:rsidRDefault="00D66EF8" w:rsidP="00B54BF0">
      <w:pPr>
        <w:pStyle w:val="para"/>
        <w:spacing w:line="360" w:lineRule="auto"/>
        <w:rPr>
          <w:i/>
          <w:sz w:val="24"/>
          <w:szCs w:val="24"/>
        </w:rPr>
      </w:pPr>
      <w:r w:rsidRPr="00B54BF0">
        <w:rPr>
          <w:i/>
          <w:sz w:val="24"/>
          <w:szCs w:val="24"/>
        </w:rPr>
        <w:tab/>
        <w:t>(b)</w:t>
      </w:r>
      <w:r w:rsidRPr="00B54BF0">
        <w:rPr>
          <w:i/>
          <w:sz w:val="24"/>
          <w:szCs w:val="24"/>
        </w:rPr>
        <w:tab/>
        <w:t>a patient other than a voluntary patient, within 24 hours of his admission,</w:t>
      </w:r>
    </w:p>
    <w:p w:rsidR="00D66EF8" w:rsidRPr="00B54BF0" w:rsidRDefault="00D66EF8" w:rsidP="00B54BF0">
      <w:pPr>
        <w:pStyle w:val="continued"/>
        <w:spacing w:line="360" w:lineRule="auto"/>
        <w:rPr>
          <w:i/>
          <w:sz w:val="24"/>
          <w:szCs w:val="24"/>
        </w:rPr>
      </w:pPr>
      <w:r w:rsidRPr="00B54BF0">
        <w:rPr>
          <w:i/>
          <w:sz w:val="24"/>
          <w:szCs w:val="24"/>
        </w:rPr>
        <w:t>forward to the Magistrate of the District where that patient ordinarily resides a copy of the admission report with a request for validation of the admission in the form specified in the Second Schedule.</w:t>
      </w:r>
    </w:p>
    <w:p w:rsidR="00D66EF8" w:rsidRPr="00B54BF0" w:rsidRDefault="00D66EF8" w:rsidP="00B54BF0">
      <w:pPr>
        <w:pStyle w:val="subsection"/>
        <w:spacing w:line="360" w:lineRule="auto"/>
        <w:rPr>
          <w:i/>
          <w:sz w:val="24"/>
          <w:szCs w:val="24"/>
        </w:rPr>
      </w:pPr>
      <w:r w:rsidRPr="00B54BF0">
        <w:rPr>
          <w:i/>
          <w:sz w:val="24"/>
          <w:szCs w:val="24"/>
        </w:rPr>
        <w:t>(2)  The Superintendent shall, in respect of every patient, enter the name, date of birth and such other particulars as the Superintendent deems appropriate in a register kept for that purpose.</w:t>
      </w:r>
    </w:p>
    <w:p w:rsidR="00D66EF8" w:rsidRPr="00B54BF0" w:rsidRDefault="00D66EF8" w:rsidP="00B54BF0">
      <w:pPr>
        <w:pStyle w:val="subsection"/>
        <w:spacing w:line="360" w:lineRule="auto"/>
        <w:rPr>
          <w:i/>
          <w:sz w:val="24"/>
          <w:szCs w:val="24"/>
        </w:rPr>
      </w:pPr>
      <w:r w:rsidRPr="00B54BF0">
        <w:rPr>
          <w:i/>
          <w:sz w:val="24"/>
          <w:szCs w:val="24"/>
        </w:rPr>
        <w:t>(3)  Subsection (1) shall not apply to—</w:t>
      </w:r>
    </w:p>
    <w:p w:rsidR="00D66EF8" w:rsidRPr="00B54BF0" w:rsidRDefault="00D66EF8" w:rsidP="00B54BF0">
      <w:pPr>
        <w:pStyle w:val="para"/>
        <w:spacing w:line="360" w:lineRule="auto"/>
        <w:rPr>
          <w:i/>
          <w:sz w:val="24"/>
          <w:szCs w:val="24"/>
        </w:rPr>
      </w:pPr>
      <w:r w:rsidRPr="00B54BF0">
        <w:rPr>
          <w:i/>
          <w:sz w:val="24"/>
          <w:szCs w:val="24"/>
        </w:rPr>
        <w:tab/>
        <w:t>(a)</w:t>
      </w:r>
      <w:r w:rsidRPr="00B54BF0">
        <w:rPr>
          <w:i/>
          <w:sz w:val="24"/>
          <w:szCs w:val="24"/>
        </w:rPr>
        <w:tab/>
        <w:t>a person ordered by a Court to be confined under section 74 or 115 of the Criminal Procedure Act;</w:t>
      </w:r>
    </w:p>
    <w:p w:rsidR="00D66EF8" w:rsidRPr="00B54BF0" w:rsidRDefault="00D66EF8" w:rsidP="00B54BF0">
      <w:pPr>
        <w:pStyle w:val="para"/>
        <w:spacing w:line="360" w:lineRule="auto"/>
        <w:rPr>
          <w:i/>
          <w:sz w:val="24"/>
          <w:szCs w:val="24"/>
        </w:rPr>
      </w:pPr>
      <w:r w:rsidRPr="00B54BF0">
        <w:rPr>
          <w:i/>
          <w:sz w:val="24"/>
          <w:szCs w:val="24"/>
        </w:rPr>
        <w:tab/>
        <w:t>(b)</w:t>
      </w:r>
      <w:r w:rsidRPr="00B54BF0">
        <w:rPr>
          <w:i/>
          <w:sz w:val="24"/>
          <w:szCs w:val="24"/>
        </w:rPr>
        <w:tab/>
        <w:t>a person discharged under section 12.</w:t>
      </w:r>
    </w:p>
    <w:p w:rsidR="00D66EF8" w:rsidRPr="00B54BF0" w:rsidRDefault="00D66EF8" w:rsidP="00B54BF0">
      <w:pPr>
        <w:spacing w:after="160" w:line="360" w:lineRule="auto"/>
        <w:jc w:val="both"/>
        <w:rPr>
          <w:rFonts w:eastAsia="Calibri" w:cs="Times New Roman"/>
          <w:lang w:val="en-US"/>
        </w:rPr>
      </w:pPr>
    </w:p>
    <w:p w:rsidR="00D66EF8" w:rsidRPr="00B54BF0" w:rsidRDefault="00D66EF8" w:rsidP="00B54BF0">
      <w:pPr>
        <w:spacing w:line="360" w:lineRule="auto"/>
        <w:ind w:left="810" w:right="360" w:hanging="450"/>
        <w:jc w:val="both"/>
        <w:rPr>
          <w:rFonts w:cs="Times New Roman"/>
          <w:lang w:val="en-US"/>
        </w:rPr>
      </w:pPr>
      <w:r w:rsidRPr="00B54BF0">
        <w:rPr>
          <w:rFonts w:cs="Times New Roman"/>
          <w:lang w:val="en-US"/>
        </w:rPr>
        <w:t>(4)</w:t>
      </w:r>
      <w:r w:rsidRPr="00B54BF0">
        <w:rPr>
          <w:rFonts w:cs="Times New Roman"/>
          <w:lang w:val="en-US"/>
        </w:rPr>
        <w:tab/>
        <w:t xml:space="preserve">In this section – </w:t>
      </w:r>
    </w:p>
    <w:p w:rsidR="00D66EF8" w:rsidRPr="00B54BF0" w:rsidRDefault="00D66EF8" w:rsidP="00B54BF0">
      <w:pPr>
        <w:spacing w:line="360" w:lineRule="auto"/>
        <w:ind w:right="360"/>
        <w:jc w:val="both"/>
        <w:rPr>
          <w:rFonts w:cs="Times New Roman"/>
          <w:lang w:val="en-US"/>
        </w:rPr>
      </w:pPr>
    </w:p>
    <w:p w:rsidR="00265B62" w:rsidRPr="00B54BF0" w:rsidRDefault="00265B62" w:rsidP="00B54BF0">
      <w:pPr>
        <w:spacing w:line="360" w:lineRule="auto"/>
        <w:ind w:left="810" w:right="360"/>
        <w:jc w:val="both"/>
        <w:rPr>
          <w:rFonts w:cs="Times New Roman"/>
          <w:i/>
          <w:lang w:val="en-US"/>
        </w:rPr>
      </w:pPr>
      <w:r w:rsidRPr="00B54BF0">
        <w:rPr>
          <w:rFonts w:cs="Times New Roman"/>
          <w:i/>
          <w:lang w:val="en-US"/>
        </w:rPr>
        <w:t xml:space="preserve">“voluntary patient” – </w:t>
      </w:r>
    </w:p>
    <w:p w:rsidR="00265B62" w:rsidRPr="00B54BF0" w:rsidRDefault="00265B62" w:rsidP="00B54BF0">
      <w:pPr>
        <w:spacing w:line="360" w:lineRule="auto"/>
        <w:ind w:right="360"/>
        <w:jc w:val="both"/>
        <w:rPr>
          <w:rFonts w:cs="Times New Roman"/>
          <w:i/>
          <w:lang w:val="en-US"/>
        </w:rPr>
      </w:pPr>
    </w:p>
    <w:p w:rsidR="00265B62" w:rsidRPr="00B54BF0" w:rsidRDefault="00265B62" w:rsidP="00B54BF0">
      <w:pPr>
        <w:numPr>
          <w:ilvl w:val="0"/>
          <w:numId w:val="3"/>
        </w:numPr>
        <w:spacing w:line="360" w:lineRule="auto"/>
        <w:ind w:left="1350" w:right="360" w:hanging="540"/>
        <w:jc w:val="both"/>
        <w:rPr>
          <w:rFonts w:cs="Times New Roman"/>
          <w:i/>
          <w:lang w:val="en-US"/>
        </w:rPr>
      </w:pPr>
      <w:r w:rsidRPr="00B54BF0">
        <w:rPr>
          <w:rFonts w:cs="Times New Roman"/>
          <w:i/>
          <w:lang w:val="en-US"/>
        </w:rPr>
        <w:t xml:space="preserve">means a patient who, in the opinion of the medical officer or psychiatrist examining him at a </w:t>
      </w:r>
      <w:proofErr w:type="spellStart"/>
      <w:r w:rsidRPr="00B54BF0">
        <w:rPr>
          <w:rFonts w:cs="Times New Roman"/>
          <w:i/>
          <w:lang w:val="en-US"/>
        </w:rPr>
        <w:t>centre</w:t>
      </w:r>
      <w:proofErr w:type="spellEnd"/>
      <w:r w:rsidRPr="00B54BF0">
        <w:rPr>
          <w:rFonts w:cs="Times New Roman"/>
          <w:i/>
          <w:lang w:val="en-US"/>
        </w:rPr>
        <w:t xml:space="preserve"> – </w:t>
      </w:r>
    </w:p>
    <w:p w:rsidR="00265B62" w:rsidRPr="00B54BF0" w:rsidRDefault="00265B62" w:rsidP="00B54BF0">
      <w:pPr>
        <w:spacing w:line="360" w:lineRule="auto"/>
        <w:ind w:left="1440" w:right="360" w:hanging="630"/>
        <w:jc w:val="both"/>
        <w:rPr>
          <w:rFonts w:cs="Times New Roman"/>
          <w:i/>
          <w:lang w:val="en-US"/>
        </w:rPr>
      </w:pPr>
    </w:p>
    <w:p w:rsidR="00265B62" w:rsidRPr="00B54BF0" w:rsidRDefault="00265B62" w:rsidP="00B54BF0">
      <w:pPr>
        <w:numPr>
          <w:ilvl w:val="0"/>
          <w:numId w:val="4"/>
        </w:numPr>
        <w:spacing w:line="360" w:lineRule="auto"/>
        <w:ind w:left="1890" w:right="360" w:hanging="540"/>
        <w:jc w:val="both"/>
        <w:rPr>
          <w:rFonts w:cs="Times New Roman"/>
          <w:i/>
          <w:lang w:val="en-US"/>
        </w:rPr>
      </w:pPr>
      <w:r w:rsidRPr="00B54BF0">
        <w:rPr>
          <w:rFonts w:cs="Times New Roman"/>
          <w:i/>
          <w:lang w:val="en-US"/>
        </w:rPr>
        <w:t xml:space="preserve">requires treatment in a </w:t>
      </w:r>
      <w:proofErr w:type="spellStart"/>
      <w:r w:rsidRPr="00B54BF0">
        <w:rPr>
          <w:rFonts w:cs="Times New Roman"/>
          <w:i/>
          <w:lang w:val="en-US"/>
        </w:rPr>
        <w:t>centre</w:t>
      </w:r>
      <w:proofErr w:type="spellEnd"/>
      <w:r w:rsidRPr="00B54BF0">
        <w:rPr>
          <w:rFonts w:cs="Times New Roman"/>
          <w:i/>
          <w:lang w:val="en-US"/>
        </w:rPr>
        <w:t>;</w:t>
      </w:r>
    </w:p>
    <w:p w:rsidR="00265B62" w:rsidRPr="00B54BF0" w:rsidRDefault="00265B62" w:rsidP="00B54BF0">
      <w:pPr>
        <w:spacing w:line="360" w:lineRule="auto"/>
        <w:ind w:left="1890" w:right="360" w:hanging="540"/>
        <w:jc w:val="both"/>
        <w:rPr>
          <w:rFonts w:cs="Times New Roman"/>
          <w:i/>
          <w:lang w:val="en-US"/>
        </w:rPr>
      </w:pPr>
    </w:p>
    <w:p w:rsidR="00265B62" w:rsidRPr="00B54BF0" w:rsidRDefault="00265B62" w:rsidP="00B54BF0">
      <w:pPr>
        <w:numPr>
          <w:ilvl w:val="0"/>
          <w:numId w:val="4"/>
        </w:numPr>
        <w:spacing w:line="360" w:lineRule="auto"/>
        <w:ind w:left="1890" w:right="360" w:hanging="540"/>
        <w:jc w:val="both"/>
        <w:rPr>
          <w:rFonts w:cs="Times New Roman"/>
          <w:i/>
          <w:lang w:val="en-US"/>
        </w:rPr>
      </w:pPr>
      <w:r w:rsidRPr="00B54BF0">
        <w:rPr>
          <w:rFonts w:cs="Times New Roman"/>
          <w:i/>
          <w:lang w:val="en-US"/>
        </w:rPr>
        <w:t>is capable of consenting to, and consents to, his admission and treatment; and</w:t>
      </w:r>
    </w:p>
    <w:p w:rsidR="00265B62" w:rsidRPr="00B54BF0" w:rsidRDefault="00265B62" w:rsidP="00B54BF0">
      <w:pPr>
        <w:spacing w:line="360" w:lineRule="auto"/>
        <w:ind w:left="1440" w:right="360" w:hanging="630"/>
        <w:jc w:val="both"/>
        <w:rPr>
          <w:rFonts w:cs="Times New Roman"/>
          <w:i/>
          <w:lang w:val="en-US"/>
        </w:rPr>
      </w:pPr>
    </w:p>
    <w:p w:rsidR="00265B62" w:rsidRPr="00B54BF0" w:rsidRDefault="00265B62" w:rsidP="00B54BF0">
      <w:pPr>
        <w:spacing w:line="360" w:lineRule="auto"/>
        <w:ind w:left="1350" w:right="360" w:hanging="540"/>
        <w:jc w:val="both"/>
        <w:rPr>
          <w:rFonts w:cs="Times New Roman"/>
          <w:i/>
          <w:lang w:val="en-US"/>
        </w:rPr>
      </w:pPr>
      <w:r w:rsidRPr="00B54BF0">
        <w:rPr>
          <w:rFonts w:cs="Times New Roman"/>
          <w:i/>
          <w:lang w:val="en-US"/>
        </w:rPr>
        <w:t>(b)</w:t>
      </w:r>
      <w:r w:rsidRPr="00B54BF0">
        <w:rPr>
          <w:rFonts w:cs="Times New Roman"/>
          <w:i/>
          <w:lang w:val="en-US"/>
        </w:rPr>
        <w:tab/>
        <w:t>includes a minor patient whose legal guardian may consent to his admission.</w:t>
      </w:r>
    </w:p>
    <w:p w:rsidR="00265B62" w:rsidRPr="00B54BF0" w:rsidRDefault="00265B62" w:rsidP="00B54BF0">
      <w:pPr>
        <w:spacing w:after="160" w:line="360" w:lineRule="auto"/>
        <w:jc w:val="both"/>
        <w:rPr>
          <w:rFonts w:eastAsia="Calibri" w:cs="Times New Roman"/>
          <w:lang w:val="en-US"/>
        </w:rPr>
      </w:pPr>
    </w:p>
    <w:p w:rsidR="000600B8" w:rsidRPr="00B54BF0" w:rsidRDefault="000600B8" w:rsidP="00B54BF0">
      <w:pPr>
        <w:pStyle w:val="section"/>
        <w:spacing w:before="0" w:line="360" w:lineRule="auto"/>
        <w:jc w:val="both"/>
        <w:rPr>
          <w:i/>
          <w:sz w:val="24"/>
          <w:szCs w:val="24"/>
        </w:rPr>
      </w:pPr>
      <w:r w:rsidRPr="00B54BF0">
        <w:rPr>
          <w:i/>
          <w:sz w:val="24"/>
          <w:szCs w:val="24"/>
        </w:rPr>
        <w:lastRenderedPageBreak/>
        <w:t>14.   Validation by Magistrate</w:t>
      </w:r>
    </w:p>
    <w:p w:rsidR="000600B8" w:rsidRPr="00B54BF0" w:rsidRDefault="000600B8" w:rsidP="00B54BF0">
      <w:pPr>
        <w:pStyle w:val="subsection"/>
        <w:spacing w:before="0" w:line="360" w:lineRule="auto"/>
        <w:rPr>
          <w:i/>
          <w:sz w:val="24"/>
          <w:szCs w:val="24"/>
        </w:rPr>
      </w:pPr>
      <w:r w:rsidRPr="00B54BF0">
        <w:rPr>
          <w:i/>
          <w:sz w:val="24"/>
          <w:szCs w:val="24"/>
        </w:rPr>
        <w:t>(1)  Where a District Magistrate is satisfied that a request for validation of admission under section 13 is in order, the District Magistrate shall issue an order for validation of the admission in the form specified in the Third Schedule.</w:t>
      </w:r>
    </w:p>
    <w:p w:rsidR="000600B8" w:rsidRPr="00B54BF0" w:rsidRDefault="000600B8" w:rsidP="00B54BF0">
      <w:pPr>
        <w:pStyle w:val="subsection"/>
        <w:spacing w:line="360" w:lineRule="auto"/>
        <w:rPr>
          <w:i/>
          <w:sz w:val="24"/>
          <w:szCs w:val="24"/>
        </w:rPr>
      </w:pPr>
      <w:r w:rsidRPr="00B54BF0">
        <w:rPr>
          <w:i/>
          <w:sz w:val="24"/>
          <w:szCs w:val="24"/>
        </w:rPr>
        <w:t>(2)  A copy of an order issued under subsection (1) shall be forwarded to the Superintendent.</w:t>
      </w:r>
    </w:p>
    <w:p w:rsidR="000600B8" w:rsidRPr="00B54BF0" w:rsidRDefault="000600B8" w:rsidP="00B54BF0">
      <w:pPr>
        <w:pStyle w:val="subsection"/>
        <w:spacing w:line="360" w:lineRule="auto"/>
        <w:rPr>
          <w:i/>
          <w:sz w:val="24"/>
          <w:szCs w:val="24"/>
        </w:rPr>
      </w:pPr>
      <w:proofErr w:type="gramStart"/>
      <w:r w:rsidRPr="00B54BF0">
        <w:rPr>
          <w:i/>
          <w:sz w:val="24"/>
          <w:szCs w:val="24"/>
        </w:rPr>
        <w:t>(3)  (</w:t>
      </w:r>
      <w:proofErr w:type="gramEnd"/>
      <w:r w:rsidRPr="00B54BF0">
        <w:rPr>
          <w:i/>
          <w:sz w:val="24"/>
          <w:szCs w:val="24"/>
        </w:rPr>
        <w:t>a)  Where the Magistrate is not satisfied that the procedure under this Act has been followed or where he is in presence of information that the detention of a patient is contrary to section 7 or 8, he may make such inquiry as he thinks fit and for this purpose require the production of such further evidence as he considers necessary.</w:t>
      </w:r>
    </w:p>
    <w:p w:rsidR="000600B8" w:rsidRPr="00B54BF0" w:rsidRDefault="000600B8" w:rsidP="00B54BF0">
      <w:pPr>
        <w:pStyle w:val="paranotlist"/>
        <w:spacing w:line="360" w:lineRule="auto"/>
        <w:rPr>
          <w:i/>
          <w:sz w:val="24"/>
          <w:szCs w:val="24"/>
        </w:rPr>
      </w:pPr>
      <w:r w:rsidRPr="00B54BF0">
        <w:rPr>
          <w:i/>
          <w:sz w:val="24"/>
          <w:szCs w:val="24"/>
        </w:rPr>
        <w:t>(b)  After making an inquiry under subsection (3) (a), the Magistrate may validate or refuse to validate the admission.</w:t>
      </w:r>
    </w:p>
    <w:p w:rsidR="000600B8" w:rsidRPr="00B54BF0" w:rsidRDefault="000600B8" w:rsidP="00B54BF0">
      <w:pPr>
        <w:pStyle w:val="subsection"/>
        <w:spacing w:line="360" w:lineRule="auto"/>
        <w:rPr>
          <w:i/>
          <w:sz w:val="24"/>
          <w:szCs w:val="24"/>
        </w:rPr>
      </w:pPr>
      <w:r w:rsidRPr="00B54BF0">
        <w:rPr>
          <w:i/>
          <w:sz w:val="24"/>
          <w:szCs w:val="24"/>
        </w:rPr>
        <w:t>(4)  The Clerk of the Court in which the Magistrate sits to consider a request for validation of admission under section 13 shall keep the original of the proceedings and documents produced in a separate file.</w:t>
      </w:r>
    </w:p>
    <w:p w:rsidR="000600B8" w:rsidRPr="00B54BF0" w:rsidRDefault="000600B8" w:rsidP="00B54BF0">
      <w:pPr>
        <w:pStyle w:val="section"/>
        <w:spacing w:line="360" w:lineRule="auto"/>
        <w:jc w:val="both"/>
        <w:rPr>
          <w:i/>
          <w:sz w:val="24"/>
          <w:szCs w:val="24"/>
        </w:rPr>
      </w:pPr>
      <w:r w:rsidRPr="00B54BF0">
        <w:rPr>
          <w:i/>
          <w:sz w:val="24"/>
          <w:szCs w:val="24"/>
        </w:rPr>
        <w:t>15.   Automatic review</w:t>
      </w:r>
    </w:p>
    <w:p w:rsidR="000600B8" w:rsidRPr="00B54BF0" w:rsidRDefault="000600B8" w:rsidP="00B54BF0">
      <w:pPr>
        <w:pStyle w:val="subsection"/>
        <w:spacing w:line="360" w:lineRule="auto"/>
        <w:rPr>
          <w:i/>
          <w:sz w:val="24"/>
          <w:szCs w:val="24"/>
        </w:rPr>
      </w:pPr>
      <w:r w:rsidRPr="00B54BF0">
        <w:rPr>
          <w:i/>
          <w:sz w:val="24"/>
          <w:szCs w:val="24"/>
        </w:rPr>
        <w:t>(1)  The Commission shall review the case of every patient—</w:t>
      </w:r>
    </w:p>
    <w:p w:rsidR="000600B8" w:rsidRPr="00B54BF0" w:rsidRDefault="000600B8" w:rsidP="00B54BF0">
      <w:pPr>
        <w:pStyle w:val="para"/>
        <w:spacing w:line="360" w:lineRule="auto"/>
        <w:rPr>
          <w:i/>
          <w:sz w:val="24"/>
          <w:szCs w:val="24"/>
        </w:rPr>
      </w:pPr>
      <w:r w:rsidRPr="00B54BF0">
        <w:rPr>
          <w:i/>
          <w:sz w:val="24"/>
          <w:szCs w:val="24"/>
        </w:rPr>
        <w:tab/>
        <w:t>(a)</w:t>
      </w:r>
      <w:r w:rsidRPr="00B54BF0">
        <w:rPr>
          <w:i/>
          <w:sz w:val="24"/>
          <w:szCs w:val="24"/>
        </w:rPr>
        <w:tab/>
        <w:t>at its first meeting after the admission;</w:t>
      </w:r>
    </w:p>
    <w:p w:rsidR="000600B8" w:rsidRPr="00B54BF0" w:rsidRDefault="000600B8" w:rsidP="00B54BF0">
      <w:pPr>
        <w:pStyle w:val="para"/>
        <w:spacing w:line="360" w:lineRule="auto"/>
        <w:rPr>
          <w:i/>
          <w:sz w:val="24"/>
          <w:szCs w:val="24"/>
        </w:rPr>
      </w:pPr>
      <w:r w:rsidRPr="00B54BF0">
        <w:rPr>
          <w:i/>
          <w:sz w:val="24"/>
          <w:szCs w:val="24"/>
        </w:rPr>
        <w:tab/>
        <w:t>(b)</w:t>
      </w:r>
      <w:r w:rsidRPr="00B54BF0">
        <w:rPr>
          <w:i/>
          <w:sz w:val="24"/>
          <w:szCs w:val="24"/>
        </w:rPr>
        <w:tab/>
        <w:t>every fortnight thereafter for 3 months;</w:t>
      </w:r>
    </w:p>
    <w:p w:rsidR="000600B8" w:rsidRPr="00B54BF0" w:rsidRDefault="000600B8" w:rsidP="00B54BF0">
      <w:pPr>
        <w:pStyle w:val="para"/>
        <w:spacing w:line="360" w:lineRule="auto"/>
        <w:rPr>
          <w:i/>
          <w:sz w:val="24"/>
          <w:szCs w:val="24"/>
        </w:rPr>
      </w:pPr>
      <w:r w:rsidRPr="00B54BF0">
        <w:rPr>
          <w:i/>
          <w:sz w:val="24"/>
          <w:szCs w:val="24"/>
        </w:rPr>
        <w:tab/>
        <w:t>(c)</w:t>
      </w:r>
      <w:r w:rsidRPr="00B54BF0">
        <w:rPr>
          <w:i/>
          <w:sz w:val="24"/>
          <w:szCs w:val="24"/>
        </w:rPr>
        <w:tab/>
        <w:t>every 4 months thereafter for 3 years;</w:t>
      </w:r>
    </w:p>
    <w:p w:rsidR="000600B8" w:rsidRPr="00B54BF0" w:rsidRDefault="000600B8" w:rsidP="00B54BF0">
      <w:pPr>
        <w:pStyle w:val="para"/>
        <w:spacing w:line="360" w:lineRule="auto"/>
        <w:rPr>
          <w:i/>
          <w:sz w:val="24"/>
          <w:szCs w:val="24"/>
        </w:rPr>
      </w:pPr>
      <w:r w:rsidRPr="00B54BF0">
        <w:rPr>
          <w:i/>
          <w:sz w:val="24"/>
          <w:szCs w:val="24"/>
        </w:rPr>
        <w:tab/>
        <w:t>(d)</w:t>
      </w:r>
      <w:r w:rsidRPr="00B54BF0">
        <w:rPr>
          <w:i/>
          <w:sz w:val="24"/>
          <w:szCs w:val="24"/>
        </w:rPr>
        <w:tab/>
        <w:t>once a year subsequently.</w:t>
      </w:r>
    </w:p>
    <w:p w:rsidR="000600B8" w:rsidRPr="00B54BF0" w:rsidRDefault="000600B8" w:rsidP="00B54BF0">
      <w:pPr>
        <w:pStyle w:val="subsection"/>
        <w:spacing w:line="360" w:lineRule="auto"/>
        <w:rPr>
          <w:i/>
          <w:sz w:val="24"/>
          <w:szCs w:val="24"/>
        </w:rPr>
      </w:pPr>
      <w:r w:rsidRPr="00B54BF0">
        <w:rPr>
          <w:i/>
          <w:sz w:val="24"/>
          <w:szCs w:val="24"/>
        </w:rPr>
        <w:t>(2)  On a review, the Commission shall determine whether—</w:t>
      </w:r>
    </w:p>
    <w:p w:rsidR="000600B8" w:rsidRPr="00B54BF0" w:rsidRDefault="000600B8" w:rsidP="00B54BF0">
      <w:pPr>
        <w:pStyle w:val="para"/>
        <w:spacing w:line="360" w:lineRule="auto"/>
        <w:rPr>
          <w:i/>
          <w:sz w:val="24"/>
          <w:szCs w:val="24"/>
        </w:rPr>
      </w:pPr>
      <w:r w:rsidRPr="00B54BF0">
        <w:rPr>
          <w:i/>
          <w:sz w:val="24"/>
          <w:szCs w:val="24"/>
        </w:rPr>
        <w:tab/>
        <w:t>(a)</w:t>
      </w:r>
      <w:r w:rsidRPr="00B54BF0">
        <w:rPr>
          <w:i/>
          <w:sz w:val="24"/>
          <w:szCs w:val="24"/>
        </w:rPr>
        <w:tab/>
        <w:t>the continued stay of the patient is necessary;</w:t>
      </w:r>
    </w:p>
    <w:p w:rsidR="000600B8" w:rsidRPr="00B54BF0" w:rsidRDefault="000600B8" w:rsidP="00B54BF0">
      <w:pPr>
        <w:pStyle w:val="para"/>
        <w:spacing w:line="360" w:lineRule="auto"/>
        <w:rPr>
          <w:i/>
          <w:sz w:val="24"/>
          <w:szCs w:val="24"/>
        </w:rPr>
      </w:pPr>
      <w:r w:rsidRPr="00B54BF0">
        <w:rPr>
          <w:i/>
          <w:sz w:val="24"/>
          <w:szCs w:val="24"/>
        </w:rPr>
        <w:tab/>
        <w:t>(b)</w:t>
      </w:r>
      <w:r w:rsidRPr="00B54BF0">
        <w:rPr>
          <w:i/>
          <w:sz w:val="24"/>
          <w:szCs w:val="24"/>
        </w:rPr>
        <w:tab/>
        <w:t>the treatment and living conditions of the patient are satisfactory.</w:t>
      </w:r>
    </w:p>
    <w:p w:rsidR="000600B8" w:rsidRPr="00B54BF0" w:rsidRDefault="000600B8" w:rsidP="00B54BF0">
      <w:pPr>
        <w:pStyle w:val="subsection"/>
        <w:spacing w:line="360" w:lineRule="auto"/>
        <w:rPr>
          <w:i/>
          <w:sz w:val="24"/>
          <w:szCs w:val="24"/>
        </w:rPr>
      </w:pPr>
      <w:r w:rsidRPr="00B54BF0">
        <w:rPr>
          <w:i/>
          <w:sz w:val="24"/>
          <w:szCs w:val="24"/>
        </w:rPr>
        <w:t>(3)  The Superintendent shall communicate the result of the review to the patient or his next of kin.</w:t>
      </w:r>
    </w:p>
    <w:p w:rsidR="000600B8" w:rsidRPr="00B54BF0" w:rsidRDefault="000600B8" w:rsidP="00B54BF0">
      <w:pPr>
        <w:spacing w:after="160" w:line="360" w:lineRule="auto"/>
        <w:jc w:val="both"/>
        <w:rPr>
          <w:rFonts w:eastAsia="Calibri" w:cs="Times New Roman"/>
          <w:i/>
          <w:lang w:val="en-US"/>
        </w:rPr>
      </w:pPr>
    </w:p>
    <w:p w:rsidR="00265B62" w:rsidRPr="00B54BF0" w:rsidRDefault="00265B62" w:rsidP="00B54BF0">
      <w:pPr>
        <w:pStyle w:val="headpart"/>
        <w:spacing w:line="360" w:lineRule="auto"/>
        <w:jc w:val="both"/>
        <w:rPr>
          <w:i/>
          <w:sz w:val="24"/>
          <w:szCs w:val="24"/>
        </w:rPr>
      </w:pPr>
      <w:r w:rsidRPr="00B54BF0">
        <w:rPr>
          <w:i/>
          <w:sz w:val="24"/>
          <w:szCs w:val="24"/>
        </w:rPr>
        <w:lastRenderedPageBreak/>
        <w:t>PART IV – TREATMENT, LEAVE AND DISCHARGE</w:t>
      </w:r>
    </w:p>
    <w:p w:rsidR="00265B62" w:rsidRPr="00B54BF0" w:rsidRDefault="00265B62" w:rsidP="00B54BF0">
      <w:pPr>
        <w:pStyle w:val="section"/>
        <w:spacing w:line="360" w:lineRule="auto"/>
        <w:jc w:val="both"/>
        <w:rPr>
          <w:i/>
          <w:sz w:val="24"/>
          <w:szCs w:val="24"/>
        </w:rPr>
      </w:pPr>
      <w:r w:rsidRPr="00B54BF0">
        <w:rPr>
          <w:i/>
          <w:sz w:val="24"/>
          <w:szCs w:val="24"/>
        </w:rPr>
        <w:t>16.   Treatment of patients</w:t>
      </w:r>
    </w:p>
    <w:p w:rsidR="00265B62" w:rsidRPr="00B54BF0" w:rsidRDefault="00265B62" w:rsidP="00B54BF0">
      <w:pPr>
        <w:pStyle w:val="subsection"/>
        <w:spacing w:line="360" w:lineRule="auto"/>
        <w:rPr>
          <w:i/>
          <w:sz w:val="24"/>
          <w:szCs w:val="24"/>
        </w:rPr>
      </w:pPr>
      <w:r w:rsidRPr="00B54BF0">
        <w:rPr>
          <w:i/>
          <w:sz w:val="24"/>
          <w:szCs w:val="24"/>
        </w:rPr>
        <w:t>(1)  No person shall be administered treatment at a centre unless—</w:t>
      </w:r>
    </w:p>
    <w:p w:rsidR="00265B62" w:rsidRPr="00B54BF0" w:rsidRDefault="00265B62" w:rsidP="00B54BF0">
      <w:pPr>
        <w:pStyle w:val="para"/>
        <w:spacing w:line="360" w:lineRule="auto"/>
        <w:rPr>
          <w:i/>
          <w:sz w:val="24"/>
          <w:szCs w:val="24"/>
        </w:rPr>
      </w:pPr>
      <w:r w:rsidRPr="00B54BF0">
        <w:rPr>
          <w:i/>
          <w:sz w:val="24"/>
          <w:szCs w:val="24"/>
        </w:rPr>
        <w:tab/>
        <w:t>(a)</w:t>
      </w:r>
      <w:r w:rsidRPr="00B54BF0">
        <w:rPr>
          <w:i/>
          <w:sz w:val="24"/>
          <w:szCs w:val="24"/>
        </w:rPr>
        <w:tab/>
        <w:t>he suffers from a mental disorder; and</w:t>
      </w:r>
    </w:p>
    <w:p w:rsidR="00265B62" w:rsidRPr="00B54BF0" w:rsidRDefault="00265B62" w:rsidP="00B54BF0">
      <w:pPr>
        <w:pStyle w:val="para"/>
        <w:spacing w:line="360" w:lineRule="auto"/>
        <w:rPr>
          <w:i/>
          <w:sz w:val="24"/>
          <w:szCs w:val="24"/>
        </w:rPr>
      </w:pPr>
      <w:r w:rsidRPr="00B54BF0">
        <w:rPr>
          <w:i/>
          <w:sz w:val="24"/>
          <w:szCs w:val="24"/>
        </w:rPr>
        <w:tab/>
        <w:t>(b)</w:t>
      </w:r>
      <w:r w:rsidRPr="00B54BF0">
        <w:rPr>
          <w:i/>
          <w:sz w:val="24"/>
          <w:szCs w:val="24"/>
        </w:rPr>
        <w:tab/>
        <w:t>he or his next of kin consents to treatment.</w:t>
      </w:r>
    </w:p>
    <w:p w:rsidR="00265B62" w:rsidRPr="00B54BF0" w:rsidRDefault="00265B62" w:rsidP="00B54BF0">
      <w:pPr>
        <w:pStyle w:val="subsection"/>
        <w:spacing w:line="360" w:lineRule="auto"/>
        <w:rPr>
          <w:i/>
          <w:sz w:val="24"/>
          <w:szCs w:val="24"/>
        </w:rPr>
      </w:pPr>
      <w:r w:rsidRPr="00B54BF0">
        <w:rPr>
          <w:i/>
          <w:sz w:val="24"/>
          <w:szCs w:val="24"/>
        </w:rPr>
        <w:t>(2)  Where a person is unable to give his consent and his next of kin cannot be traced or refuses to give consent, the treating psychiatrist shall submit the treatment plan specified in section 18 forthwith to the Commission for approval before any treatment is given.</w:t>
      </w:r>
    </w:p>
    <w:p w:rsidR="00265B62" w:rsidRPr="00B54BF0" w:rsidRDefault="00265B62" w:rsidP="00B54BF0">
      <w:pPr>
        <w:pStyle w:val="section"/>
        <w:spacing w:line="360" w:lineRule="auto"/>
        <w:jc w:val="both"/>
        <w:rPr>
          <w:i/>
          <w:sz w:val="24"/>
          <w:szCs w:val="24"/>
        </w:rPr>
      </w:pPr>
      <w:r w:rsidRPr="00B54BF0">
        <w:rPr>
          <w:i/>
          <w:sz w:val="24"/>
          <w:szCs w:val="24"/>
        </w:rPr>
        <w:t>17.   Consent of security patients</w:t>
      </w:r>
    </w:p>
    <w:p w:rsidR="00265B62" w:rsidRPr="00B54BF0" w:rsidRDefault="00265B62" w:rsidP="00B54BF0">
      <w:pPr>
        <w:pStyle w:val="subsection"/>
        <w:spacing w:line="360" w:lineRule="auto"/>
        <w:rPr>
          <w:i/>
          <w:sz w:val="24"/>
          <w:szCs w:val="24"/>
        </w:rPr>
      </w:pPr>
      <w:r w:rsidRPr="00B54BF0">
        <w:rPr>
          <w:i/>
          <w:sz w:val="24"/>
          <w:szCs w:val="24"/>
        </w:rPr>
        <w:t>(1)  A security patient may be administered treatment with his consent or the consent of his next of kin.</w:t>
      </w:r>
    </w:p>
    <w:p w:rsidR="00265B62" w:rsidRPr="00B54BF0" w:rsidRDefault="00265B62" w:rsidP="00B54BF0">
      <w:pPr>
        <w:pStyle w:val="subsection"/>
        <w:spacing w:before="0" w:line="360" w:lineRule="auto"/>
        <w:rPr>
          <w:i/>
          <w:sz w:val="24"/>
          <w:szCs w:val="24"/>
        </w:rPr>
      </w:pPr>
      <w:r w:rsidRPr="00B54BF0">
        <w:rPr>
          <w:i/>
          <w:sz w:val="24"/>
          <w:szCs w:val="24"/>
        </w:rPr>
        <w:t xml:space="preserve">(2)  Where the security patient is unable to give his consent and his next of kin cannot be traced or refuses to give consent, a treatment plan shall be submitted to the Commission </w:t>
      </w:r>
      <w:r w:rsidRPr="00B54BF0">
        <w:rPr>
          <w:i/>
          <w:sz w:val="24"/>
          <w:szCs w:val="24"/>
          <w:lang w:val="en-US"/>
        </w:rPr>
        <w:t xml:space="preserve">or the Managerial Committee, as the case may be, </w:t>
      </w:r>
      <w:r w:rsidRPr="00B54BF0">
        <w:rPr>
          <w:i/>
          <w:sz w:val="24"/>
          <w:szCs w:val="24"/>
        </w:rPr>
        <w:t>for approval before any treatment is given.</w:t>
      </w:r>
    </w:p>
    <w:p w:rsidR="00265B62" w:rsidRPr="00B54BF0" w:rsidRDefault="00265B62" w:rsidP="00B54BF0">
      <w:pPr>
        <w:pStyle w:val="headpart"/>
        <w:spacing w:before="0" w:line="360" w:lineRule="auto"/>
        <w:jc w:val="both"/>
        <w:rPr>
          <w:b w:val="0"/>
          <w:i/>
          <w:sz w:val="24"/>
          <w:szCs w:val="24"/>
        </w:rPr>
      </w:pPr>
      <w:r w:rsidRPr="00B54BF0">
        <w:rPr>
          <w:b w:val="0"/>
          <w:i/>
          <w:sz w:val="24"/>
          <w:szCs w:val="24"/>
        </w:rPr>
        <w:t xml:space="preserve"> </w:t>
      </w:r>
    </w:p>
    <w:p w:rsidR="00265B62" w:rsidRPr="00B54BF0" w:rsidRDefault="00265B62" w:rsidP="00B54BF0">
      <w:pPr>
        <w:pStyle w:val="section"/>
        <w:spacing w:line="360" w:lineRule="auto"/>
        <w:jc w:val="both"/>
        <w:rPr>
          <w:i/>
          <w:sz w:val="24"/>
          <w:szCs w:val="24"/>
        </w:rPr>
      </w:pPr>
      <w:r w:rsidRPr="00B54BF0">
        <w:rPr>
          <w:i/>
          <w:sz w:val="24"/>
          <w:szCs w:val="24"/>
        </w:rPr>
        <w:t>18.   Plan of treatment</w:t>
      </w:r>
    </w:p>
    <w:p w:rsidR="00265B62" w:rsidRPr="00B54BF0" w:rsidRDefault="00265B62" w:rsidP="00B54BF0">
      <w:pPr>
        <w:pStyle w:val="subsection"/>
        <w:spacing w:line="360" w:lineRule="auto"/>
        <w:rPr>
          <w:i/>
          <w:sz w:val="24"/>
          <w:szCs w:val="24"/>
        </w:rPr>
      </w:pPr>
      <w:r w:rsidRPr="00B54BF0">
        <w:rPr>
          <w:i/>
          <w:sz w:val="24"/>
          <w:szCs w:val="24"/>
        </w:rPr>
        <w:t>(1)  The Superintendent shall assign responsibility for a patient or security patient to a psychiatrist.</w:t>
      </w:r>
    </w:p>
    <w:p w:rsidR="00265B62" w:rsidRPr="00B54BF0" w:rsidRDefault="00265B62" w:rsidP="00B54BF0">
      <w:pPr>
        <w:pStyle w:val="subsection"/>
        <w:spacing w:line="360" w:lineRule="auto"/>
        <w:rPr>
          <w:i/>
          <w:sz w:val="24"/>
          <w:szCs w:val="24"/>
        </w:rPr>
      </w:pPr>
      <w:r w:rsidRPr="00B54BF0">
        <w:rPr>
          <w:i/>
          <w:sz w:val="24"/>
          <w:szCs w:val="24"/>
        </w:rPr>
        <w:t>(2)  The psychiatrist shall draw up an individual treatment plan in respect of every patient or security patient, as soon as practicable after his admission, for submission to the Commission</w:t>
      </w:r>
      <w:r w:rsidRPr="00B54BF0">
        <w:rPr>
          <w:i/>
          <w:sz w:val="24"/>
          <w:szCs w:val="24"/>
          <w:lang w:val="en-US"/>
        </w:rPr>
        <w:t xml:space="preserve"> or the Managerial Committee, as the case may be,</w:t>
      </w:r>
      <w:r w:rsidRPr="00B54BF0">
        <w:rPr>
          <w:i/>
          <w:sz w:val="24"/>
          <w:szCs w:val="24"/>
        </w:rPr>
        <w:t xml:space="preserve"> for approval.</w:t>
      </w:r>
    </w:p>
    <w:p w:rsidR="00265B62" w:rsidRPr="00B54BF0" w:rsidRDefault="00265B62" w:rsidP="00B54BF0">
      <w:pPr>
        <w:pStyle w:val="subsection"/>
        <w:spacing w:line="360" w:lineRule="auto"/>
        <w:rPr>
          <w:i/>
          <w:sz w:val="24"/>
          <w:szCs w:val="24"/>
        </w:rPr>
      </w:pPr>
      <w:r w:rsidRPr="00B54BF0">
        <w:rPr>
          <w:i/>
          <w:sz w:val="24"/>
          <w:szCs w:val="24"/>
        </w:rPr>
        <w:t xml:space="preserve"> (3)  The patient or security patient or his next of kin may participate in the formulation of the treatment plan.</w:t>
      </w:r>
    </w:p>
    <w:p w:rsidR="00265B62" w:rsidRPr="00B54BF0" w:rsidRDefault="00265B62" w:rsidP="00B54BF0">
      <w:pPr>
        <w:pStyle w:val="subsection"/>
        <w:spacing w:line="360" w:lineRule="auto"/>
        <w:rPr>
          <w:i/>
          <w:sz w:val="24"/>
          <w:szCs w:val="24"/>
        </w:rPr>
      </w:pPr>
      <w:r w:rsidRPr="00B54BF0">
        <w:rPr>
          <w:i/>
          <w:sz w:val="24"/>
          <w:szCs w:val="24"/>
        </w:rPr>
        <w:t>(4)  The plan shall include—</w:t>
      </w:r>
    </w:p>
    <w:p w:rsidR="00265B62" w:rsidRPr="00B54BF0" w:rsidRDefault="00265B62" w:rsidP="00B54BF0">
      <w:pPr>
        <w:pStyle w:val="para"/>
        <w:spacing w:line="360" w:lineRule="auto"/>
        <w:rPr>
          <w:i/>
          <w:sz w:val="24"/>
          <w:szCs w:val="24"/>
        </w:rPr>
      </w:pPr>
      <w:r w:rsidRPr="00B54BF0">
        <w:rPr>
          <w:i/>
          <w:sz w:val="24"/>
          <w:szCs w:val="24"/>
        </w:rPr>
        <w:tab/>
        <w:t>(a)</w:t>
      </w:r>
      <w:r w:rsidRPr="00B54BF0">
        <w:rPr>
          <w:i/>
          <w:sz w:val="24"/>
          <w:szCs w:val="24"/>
        </w:rPr>
        <w:tab/>
        <w:t>the nature, side effects and expected duration of the treatment proposed and any alternative treatment;</w:t>
      </w:r>
    </w:p>
    <w:p w:rsidR="00265B62" w:rsidRPr="00B54BF0" w:rsidRDefault="00265B62" w:rsidP="00B54BF0">
      <w:pPr>
        <w:pStyle w:val="para"/>
        <w:spacing w:line="360" w:lineRule="auto"/>
        <w:rPr>
          <w:i/>
          <w:sz w:val="24"/>
          <w:szCs w:val="24"/>
        </w:rPr>
      </w:pPr>
      <w:r w:rsidRPr="00B54BF0">
        <w:rPr>
          <w:i/>
          <w:sz w:val="24"/>
          <w:szCs w:val="24"/>
        </w:rPr>
        <w:lastRenderedPageBreak/>
        <w:tab/>
        <w:t>(b)</w:t>
      </w:r>
      <w:r w:rsidRPr="00B54BF0">
        <w:rPr>
          <w:i/>
          <w:sz w:val="24"/>
          <w:szCs w:val="24"/>
        </w:rPr>
        <w:tab/>
        <w:t>the nature and duration of any other non-psychiatric treatment that may be required.</w:t>
      </w:r>
    </w:p>
    <w:p w:rsidR="00265B62" w:rsidRPr="00B54BF0" w:rsidRDefault="00265B62" w:rsidP="00B54BF0">
      <w:pPr>
        <w:pStyle w:val="subsection"/>
        <w:spacing w:before="0" w:line="360" w:lineRule="auto"/>
        <w:rPr>
          <w:i/>
          <w:sz w:val="24"/>
          <w:szCs w:val="24"/>
        </w:rPr>
      </w:pPr>
    </w:p>
    <w:p w:rsidR="00265B62" w:rsidRPr="00B54BF0" w:rsidRDefault="00265B62" w:rsidP="00B54BF0">
      <w:pPr>
        <w:pStyle w:val="subsection"/>
        <w:spacing w:before="0" w:line="360" w:lineRule="auto"/>
        <w:rPr>
          <w:i/>
          <w:sz w:val="24"/>
          <w:szCs w:val="24"/>
        </w:rPr>
      </w:pPr>
      <w:r w:rsidRPr="00B54BF0">
        <w:rPr>
          <w:i/>
          <w:sz w:val="24"/>
          <w:szCs w:val="24"/>
        </w:rPr>
        <w:t>(5)  Where a treating psychiatrist considers that it is urgently necessary to administer treatment to a patient under section 16 (2) or a security patient under section 17 (2) in order to prevent immediate or imminent harm to the person or patient or any other person, as the case may be, he may administer such treatment prior to the submission of a treatment plan under this section.</w:t>
      </w:r>
    </w:p>
    <w:p w:rsidR="00265B62" w:rsidRPr="00B54BF0" w:rsidRDefault="00265B62" w:rsidP="00B54BF0">
      <w:pPr>
        <w:pStyle w:val="section"/>
        <w:spacing w:before="0" w:line="360" w:lineRule="auto"/>
        <w:jc w:val="both"/>
        <w:rPr>
          <w:b w:val="0"/>
          <w:i/>
          <w:sz w:val="24"/>
          <w:szCs w:val="24"/>
        </w:rPr>
      </w:pPr>
    </w:p>
    <w:p w:rsidR="00265B62" w:rsidRPr="00B54BF0" w:rsidRDefault="00265B62" w:rsidP="00B54BF0">
      <w:pPr>
        <w:pStyle w:val="section"/>
        <w:spacing w:before="0" w:line="360" w:lineRule="auto"/>
        <w:jc w:val="both"/>
        <w:rPr>
          <w:i/>
          <w:sz w:val="24"/>
          <w:szCs w:val="24"/>
        </w:rPr>
      </w:pPr>
      <w:r w:rsidRPr="00B54BF0">
        <w:rPr>
          <w:i/>
          <w:sz w:val="24"/>
          <w:szCs w:val="24"/>
        </w:rPr>
        <w:t>19.   Special treatment</w:t>
      </w:r>
    </w:p>
    <w:p w:rsidR="00265B62" w:rsidRPr="00B54BF0" w:rsidRDefault="00265B62" w:rsidP="00B54BF0">
      <w:pPr>
        <w:pStyle w:val="subsection"/>
        <w:spacing w:line="360" w:lineRule="auto"/>
        <w:rPr>
          <w:i/>
          <w:sz w:val="24"/>
          <w:szCs w:val="24"/>
        </w:rPr>
      </w:pPr>
      <w:r w:rsidRPr="00B54BF0">
        <w:rPr>
          <w:i/>
          <w:sz w:val="24"/>
          <w:szCs w:val="24"/>
        </w:rPr>
        <w:t>(1)  No treatment by way of psychosurgery or electroconvulsive therapy or any non-psychiatric treatment shall be administered to any person without—</w:t>
      </w:r>
    </w:p>
    <w:p w:rsidR="00265B62" w:rsidRPr="00B54BF0" w:rsidRDefault="00265B62" w:rsidP="00B54BF0">
      <w:pPr>
        <w:pStyle w:val="para"/>
        <w:spacing w:line="360" w:lineRule="auto"/>
        <w:rPr>
          <w:i/>
          <w:sz w:val="24"/>
          <w:szCs w:val="24"/>
        </w:rPr>
      </w:pPr>
      <w:r w:rsidRPr="00B54BF0">
        <w:rPr>
          <w:i/>
          <w:sz w:val="24"/>
          <w:szCs w:val="24"/>
        </w:rPr>
        <w:tab/>
        <w:t>(a)</w:t>
      </w:r>
      <w:r w:rsidRPr="00B54BF0">
        <w:rPr>
          <w:i/>
          <w:sz w:val="24"/>
          <w:szCs w:val="24"/>
        </w:rPr>
        <w:tab/>
        <w:t>the informed consent of the person and the consent of his next of kin; and</w:t>
      </w:r>
    </w:p>
    <w:p w:rsidR="00265B62" w:rsidRPr="00B54BF0" w:rsidRDefault="00265B62" w:rsidP="00B54BF0">
      <w:pPr>
        <w:pStyle w:val="para"/>
        <w:spacing w:line="360" w:lineRule="auto"/>
        <w:rPr>
          <w:i/>
          <w:sz w:val="24"/>
          <w:szCs w:val="24"/>
        </w:rPr>
      </w:pPr>
      <w:r w:rsidRPr="00B54BF0">
        <w:rPr>
          <w:i/>
          <w:sz w:val="24"/>
          <w:szCs w:val="24"/>
        </w:rPr>
        <w:tab/>
        <w:t>(b)</w:t>
      </w:r>
      <w:r w:rsidRPr="00B54BF0">
        <w:rPr>
          <w:i/>
          <w:sz w:val="24"/>
          <w:szCs w:val="24"/>
        </w:rPr>
        <w:tab/>
        <w:t>the advice of the treating psychiatrist.</w:t>
      </w:r>
    </w:p>
    <w:p w:rsidR="00265B62" w:rsidRPr="00B54BF0" w:rsidRDefault="00265B62" w:rsidP="00B54BF0">
      <w:pPr>
        <w:pStyle w:val="subsection"/>
        <w:spacing w:line="360" w:lineRule="auto"/>
        <w:rPr>
          <w:i/>
          <w:sz w:val="24"/>
          <w:szCs w:val="24"/>
        </w:rPr>
      </w:pPr>
      <w:r w:rsidRPr="00B54BF0">
        <w:rPr>
          <w:i/>
          <w:sz w:val="24"/>
          <w:szCs w:val="24"/>
        </w:rPr>
        <w:t>(2)  Where a person is under the age of 18, the informed consent of his next of kin shall be sufficient for the purpose of the treatment specified in subsection (1).</w:t>
      </w:r>
    </w:p>
    <w:p w:rsidR="00265B62" w:rsidRPr="00B54BF0" w:rsidRDefault="00265B62" w:rsidP="00B54BF0">
      <w:pPr>
        <w:pStyle w:val="subsection"/>
        <w:spacing w:line="360" w:lineRule="auto"/>
        <w:rPr>
          <w:i/>
          <w:sz w:val="24"/>
          <w:szCs w:val="24"/>
        </w:rPr>
      </w:pPr>
      <w:r w:rsidRPr="00B54BF0">
        <w:rPr>
          <w:i/>
          <w:sz w:val="24"/>
          <w:szCs w:val="24"/>
        </w:rPr>
        <w:t>(3)  Where the person is unable to give informed consent and his next of kin cannot be traced or refuses to give informed consent, the treatment plan shall be submitted to the Commission for approval before any treatment is administered.</w:t>
      </w:r>
    </w:p>
    <w:p w:rsidR="00265B62" w:rsidRPr="00B54BF0" w:rsidRDefault="00265B62" w:rsidP="00B54BF0">
      <w:pPr>
        <w:pStyle w:val="subsection"/>
        <w:spacing w:line="360" w:lineRule="auto"/>
        <w:rPr>
          <w:i/>
          <w:sz w:val="24"/>
          <w:szCs w:val="24"/>
        </w:rPr>
      </w:pPr>
      <w:r w:rsidRPr="00B54BF0">
        <w:rPr>
          <w:i/>
          <w:sz w:val="24"/>
          <w:szCs w:val="24"/>
        </w:rPr>
        <w:t>(4)  Any treatment administered under this section and the details of any informed consent shall be explicitly recorded in the record of the person receiving the treatment.</w:t>
      </w:r>
    </w:p>
    <w:p w:rsidR="00C03EC4" w:rsidRPr="00B54BF0" w:rsidRDefault="00C03EC4" w:rsidP="00B54BF0">
      <w:pPr>
        <w:spacing w:after="160" w:line="360" w:lineRule="auto"/>
        <w:jc w:val="both"/>
        <w:rPr>
          <w:rFonts w:cs="Times New Roman"/>
          <w:i/>
          <w:lang w:val="en-GB"/>
        </w:rPr>
      </w:pPr>
    </w:p>
    <w:p w:rsidR="00265B62" w:rsidRPr="00B54BF0" w:rsidRDefault="00265B62" w:rsidP="00B54BF0">
      <w:pPr>
        <w:spacing w:after="160" w:line="360" w:lineRule="auto"/>
        <w:jc w:val="both"/>
        <w:rPr>
          <w:rFonts w:cs="Times New Roman"/>
          <w:i/>
          <w:lang w:val="en-GB"/>
        </w:rPr>
      </w:pPr>
    </w:p>
    <w:sectPr w:rsidR="00265B62" w:rsidRPr="00B54B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11" w:rsidRDefault="00866511" w:rsidP="00AE1893">
      <w:r>
        <w:separator/>
      </w:r>
    </w:p>
  </w:endnote>
  <w:endnote w:type="continuationSeparator" w:id="0">
    <w:p w:rsidR="00866511" w:rsidRDefault="00866511" w:rsidP="00A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93" w:rsidRDefault="00AE18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24036"/>
      <w:docPartObj>
        <w:docPartGallery w:val="Page Numbers (Bottom of Page)"/>
        <w:docPartUnique/>
      </w:docPartObj>
    </w:sdtPr>
    <w:sdtEndPr>
      <w:rPr>
        <w:noProof/>
      </w:rPr>
    </w:sdtEndPr>
    <w:sdtContent>
      <w:p w:rsidR="00AE1893" w:rsidRDefault="00AE1893">
        <w:pPr>
          <w:pStyle w:val="Footer"/>
          <w:jc w:val="right"/>
        </w:pPr>
        <w:r>
          <w:fldChar w:fldCharType="begin"/>
        </w:r>
        <w:r>
          <w:instrText xml:space="preserve"> PAGE   \* MERGEFORMAT </w:instrText>
        </w:r>
        <w:r>
          <w:fldChar w:fldCharType="separate"/>
        </w:r>
        <w:r w:rsidR="00A978F3">
          <w:rPr>
            <w:noProof/>
          </w:rPr>
          <w:t>8</w:t>
        </w:r>
        <w:r>
          <w:rPr>
            <w:noProof/>
          </w:rPr>
          <w:fldChar w:fldCharType="end"/>
        </w:r>
      </w:p>
    </w:sdtContent>
  </w:sdt>
  <w:p w:rsidR="00AE1893" w:rsidRDefault="00AE18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93" w:rsidRDefault="00AE18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11" w:rsidRDefault="00866511" w:rsidP="00AE1893">
      <w:r>
        <w:separator/>
      </w:r>
    </w:p>
  </w:footnote>
  <w:footnote w:type="continuationSeparator" w:id="0">
    <w:p w:rsidR="00866511" w:rsidRDefault="00866511" w:rsidP="00AE1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93" w:rsidRDefault="00AE18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93" w:rsidRDefault="00AE18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93" w:rsidRDefault="00AE18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0F89"/>
    <w:multiLevelType w:val="hybridMultilevel"/>
    <w:tmpl w:val="5B4844DA"/>
    <w:lvl w:ilvl="0" w:tplc="36BAE84C">
      <w:start w:val="1"/>
      <w:numFmt w:val="decimal"/>
      <w:lvlText w:val="(%1)"/>
      <w:lvlJc w:val="left"/>
      <w:pPr>
        <w:ind w:left="734" w:hanging="396"/>
      </w:pPr>
      <w:rPr>
        <w:rFonts w:hint="default"/>
      </w:rPr>
    </w:lvl>
    <w:lvl w:ilvl="1" w:tplc="20000019" w:tentative="1">
      <w:start w:val="1"/>
      <w:numFmt w:val="lowerLetter"/>
      <w:lvlText w:val="%2."/>
      <w:lvlJc w:val="left"/>
      <w:pPr>
        <w:ind w:left="1418" w:hanging="360"/>
      </w:pPr>
    </w:lvl>
    <w:lvl w:ilvl="2" w:tplc="2000001B" w:tentative="1">
      <w:start w:val="1"/>
      <w:numFmt w:val="lowerRoman"/>
      <w:lvlText w:val="%3."/>
      <w:lvlJc w:val="right"/>
      <w:pPr>
        <w:ind w:left="2138" w:hanging="180"/>
      </w:pPr>
    </w:lvl>
    <w:lvl w:ilvl="3" w:tplc="2000000F" w:tentative="1">
      <w:start w:val="1"/>
      <w:numFmt w:val="decimal"/>
      <w:lvlText w:val="%4."/>
      <w:lvlJc w:val="left"/>
      <w:pPr>
        <w:ind w:left="2858" w:hanging="360"/>
      </w:pPr>
    </w:lvl>
    <w:lvl w:ilvl="4" w:tplc="20000019" w:tentative="1">
      <w:start w:val="1"/>
      <w:numFmt w:val="lowerLetter"/>
      <w:lvlText w:val="%5."/>
      <w:lvlJc w:val="left"/>
      <w:pPr>
        <w:ind w:left="3578" w:hanging="360"/>
      </w:pPr>
    </w:lvl>
    <w:lvl w:ilvl="5" w:tplc="2000001B" w:tentative="1">
      <w:start w:val="1"/>
      <w:numFmt w:val="lowerRoman"/>
      <w:lvlText w:val="%6."/>
      <w:lvlJc w:val="right"/>
      <w:pPr>
        <w:ind w:left="4298" w:hanging="180"/>
      </w:pPr>
    </w:lvl>
    <w:lvl w:ilvl="6" w:tplc="2000000F" w:tentative="1">
      <w:start w:val="1"/>
      <w:numFmt w:val="decimal"/>
      <w:lvlText w:val="%7."/>
      <w:lvlJc w:val="left"/>
      <w:pPr>
        <w:ind w:left="5018" w:hanging="360"/>
      </w:pPr>
    </w:lvl>
    <w:lvl w:ilvl="7" w:tplc="20000019" w:tentative="1">
      <w:start w:val="1"/>
      <w:numFmt w:val="lowerLetter"/>
      <w:lvlText w:val="%8."/>
      <w:lvlJc w:val="left"/>
      <w:pPr>
        <w:ind w:left="5738" w:hanging="360"/>
      </w:pPr>
    </w:lvl>
    <w:lvl w:ilvl="8" w:tplc="2000001B" w:tentative="1">
      <w:start w:val="1"/>
      <w:numFmt w:val="lowerRoman"/>
      <w:lvlText w:val="%9."/>
      <w:lvlJc w:val="right"/>
      <w:pPr>
        <w:ind w:left="6458" w:hanging="180"/>
      </w:pPr>
    </w:lvl>
  </w:abstractNum>
  <w:abstractNum w:abstractNumId="1" w15:restartNumberingAfterBreak="0">
    <w:nsid w:val="228A4B9C"/>
    <w:multiLevelType w:val="hybridMultilevel"/>
    <w:tmpl w:val="9F8A0EE6"/>
    <w:lvl w:ilvl="0" w:tplc="4AD40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6720C"/>
    <w:multiLevelType w:val="hybridMultilevel"/>
    <w:tmpl w:val="5BA07DAA"/>
    <w:lvl w:ilvl="0" w:tplc="B7F6F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66222"/>
    <w:multiLevelType w:val="hybridMultilevel"/>
    <w:tmpl w:val="D590A6B0"/>
    <w:lvl w:ilvl="0" w:tplc="F73EA564">
      <w:start w:val="2"/>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6F21C4B"/>
    <w:multiLevelType w:val="hybridMultilevel"/>
    <w:tmpl w:val="D9EE37F0"/>
    <w:lvl w:ilvl="0" w:tplc="8822E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E0964"/>
    <w:multiLevelType w:val="hybridMultilevel"/>
    <w:tmpl w:val="946EE07C"/>
    <w:lvl w:ilvl="0" w:tplc="C7FEE0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5DA7104"/>
    <w:multiLevelType w:val="hybridMultilevel"/>
    <w:tmpl w:val="3886DEDE"/>
    <w:lvl w:ilvl="0" w:tplc="A9E44456">
      <w:start w:val="1"/>
      <w:numFmt w:val="lowerLetter"/>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0894E36"/>
    <w:multiLevelType w:val="hybridMultilevel"/>
    <w:tmpl w:val="20B66944"/>
    <w:lvl w:ilvl="0" w:tplc="CE424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D4676"/>
    <w:multiLevelType w:val="hybridMultilevel"/>
    <w:tmpl w:val="6C22E644"/>
    <w:lvl w:ilvl="0" w:tplc="57D2820A">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5E558F"/>
    <w:multiLevelType w:val="hybridMultilevel"/>
    <w:tmpl w:val="51803312"/>
    <w:lvl w:ilvl="0" w:tplc="3B7A32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E811F84"/>
    <w:multiLevelType w:val="multilevel"/>
    <w:tmpl w:val="2A14B32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F2BA6"/>
    <w:multiLevelType w:val="hybridMultilevel"/>
    <w:tmpl w:val="A9580564"/>
    <w:lvl w:ilvl="0" w:tplc="53A2F1D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3862C7"/>
    <w:multiLevelType w:val="hybridMultilevel"/>
    <w:tmpl w:val="184A3B98"/>
    <w:lvl w:ilvl="0" w:tplc="4C5252B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EAA201B"/>
    <w:multiLevelType w:val="hybridMultilevel"/>
    <w:tmpl w:val="CC323E4C"/>
    <w:lvl w:ilvl="0" w:tplc="385EFB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0"/>
  </w:num>
  <w:num w:numId="3">
    <w:abstractNumId w:val="6"/>
  </w:num>
  <w:num w:numId="4">
    <w:abstractNumId w:val="12"/>
  </w:num>
  <w:num w:numId="5">
    <w:abstractNumId w:val="4"/>
  </w:num>
  <w:num w:numId="6">
    <w:abstractNumId w:val="3"/>
  </w:num>
  <w:num w:numId="7">
    <w:abstractNumId w:val="1"/>
  </w:num>
  <w:num w:numId="8">
    <w:abstractNumId w:val="8"/>
  </w:num>
  <w:num w:numId="9">
    <w:abstractNumId w:val="7"/>
  </w:num>
  <w:num w:numId="10">
    <w:abstractNumId w:val="5"/>
  </w:num>
  <w:num w:numId="11">
    <w:abstractNumId w:val="2"/>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BE"/>
    <w:rsid w:val="000600B8"/>
    <w:rsid w:val="00060BDD"/>
    <w:rsid w:val="000B6C5C"/>
    <w:rsid w:val="001E2E24"/>
    <w:rsid w:val="00265B62"/>
    <w:rsid w:val="002C7E8B"/>
    <w:rsid w:val="003A041B"/>
    <w:rsid w:val="0045676A"/>
    <w:rsid w:val="00471081"/>
    <w:rsid w:val="006B4FF4"/>
    <w:rsid w:val="006C5883"/>
    <w:rsid w:val="0075662B"/>
    <w:rsid w:val="00784740"/>
    <w:rsid w:val="007D6B28"/>
    <w:rsid w:val="007E55BE"/>
    <w:rsid w:val="008302A0"/>
    <w:rsid w:val="00866511"/>
    <w:rsid w:val="009108BB"/>
    <w:rsid w:val="009E5C36"/>
    <w:rsid w:val="00A978F3"/>
    <w:rsid w:val="00AE1893"/>
    <w:rsid w:val="00B54BF0"/>
    <w:rsid w:val="00C03EC4"/>
    <w:rsid w:val="00CB13CE"/>
    <w:rsid w:val="00CF2C14"/>
    <w:rsid w:val="00D66EF8"/>
    <w:rsid w:val="00D87550"/>
    <w:rsid w:val="00D9463A"/>
    <w:rsid w:val="00E41B6C"/>
    <w:rsid w:val="00FC41E2"/>
    <w:rsid w:val="00FD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6E51"/>
  <w15:docId w15:val="{CF28328A-C632-46FF-9340-607549FB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BE"/>
    <w:pPr>
      <w:spacing w:after="0" w:line="240" w:lineRule="auto"/>
    </w:pPr>
    <w:rPr>
      <w:rFonts w:ascii="Times New Roman" w:hAnsi="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893"/>
    <w:pPr>
      <w:tabs>
        <w:tab w:val="center" w:pos="4680"/>
        <w:tab w:val="right" w:pos="9360"/>
      </w:tabs>
    </w:pPr>
  </w:style>
  <w:style w:type="character" w:customStyle="1" w:styleId="HeaderChar">
    <w:name w:val="Header Char"/>
    <w:basedOn w:val="DefaultParagraphFont"/>
    <w:link w:val="Header"/>
    <w:uiPriority w:val="99"/>
    <w:rsid w:val="00AE1893"/>
    <w:rPr>
      <w:rFonts w:ascii="Times New Roman" w:hAnsi="Times New Roman"/>
      <w:sz w:val="24"/>
      <w:szCs w:val="24"/>
      <w:lang w:val="en-ZA"/>
    </w:rPr>
  </w:style>
  <w:style w:type="paragraph" w:styleId="Footer">
    <w:name w:val="footer"/>
    <w:basedOn w:val="Normal"/>
    <w:link w:val="FooterChar"/>
    <w:uiPriority w:val="99"/>
    <w:unhideWhenUsed/>
    <w:rsid w:val="00AE1893"/>
    <w:pPr>
      <w:tabs>
        <w:tab w:val="center" w:pos="4680"/>
        <w:tab w:val="right" w:pos="9360"/>
      </w:tabs>
    </w:pPr>
  </w:style>
  <w:style w:type="character" w:customStyle="1" w:styleId="FooterChar">
    <w:name w:val="Footer Char"/>
    <w:basedOn w:val="DefaultParagraphFont"/>
    <w:link w:val="Footer"/>
    <w:uiPriority w:val="99"/>
    <w:rsid w:val="00AE1893"/>
    <w:rPr>
      <w:rFonts w:ascii="Times New Roman" w:hAnsi="Times New Roman"/>
      <w:sz w:val="24"/>
      <w:szCs w:val="24"/>
      <w:lang w:val="en-ZA"/>
    </w:rPr>
  </w:style>
  <w:style w:type="paragraph" w:customStyle="1" w:styleId="para">
    <w:name w:val="para"/>
    <w:basedOn w:val="Normal"/>
    <w:rsid w:val="00265B62"/>
    <w:pPr>
      <w:widowControl w:val="0"/>
      <w:tabs>
        <w:tab w:val="left" w:pos="567"/>
        <w:tab w:val="left" w:pos="1134"/>
      </w:tabs>
      <w:spacing w:before="120"/>
      <w:ind w:left="1134" w:hanging="1134"/>
      <w:jc w:val="both"/>
    </w:pPr>
    <w:rPr>
      <w:rFonts w:eastAsia="Times New Roman" w:cs="Times New Roman"/>
      <w:sz w:val="22"/>
      <w:szCs w:val="20"/>
      <w:lang w:val="en-GB" w:eastAsia="en-ZA"/>
    </w:rPr>
  </w:style>
  <w:style w:type="paragraph" w:customStyle="1" w:styleId="definition">
    <w:name w:val="definition"/>
    <w:basedOn w:val="Normal"/>
    <w:rsid w:val="00265B62"/>
    <w:pPr>
      <w:widowControl w:val="0"/>
      <w:spacing w:before="120"/>
      <w:ind w:left="284" w:firstLine="284"/>
      <w:jc w:val="both"/>
    </w:pPr>
    <w:rPr>
      <w:rFonts w:eastAsia="Times New Roman" w:cs="Times New Roman"/>
      <w:sz w:val="22"/>
      <w:szCs w:val="20"/>
      <w:lang w:val="en-GB" w:eastAsia="en-ZA"/>
    </w:rPr>
  </w:style>
  <w:style w:type="paragraph" w:customStyle="1" w:styleId="section">
    <w:name w:val="section"/>
    <w:basedOn w:val="Normal"/>
    <w:rsid w:val="00265B62"/>
    <w:pPr>
      <w:widowControl w:val="0"/>
      <w:spacing w:before="300"/>
    </w:pPr>
    <w:rPr>
      <w:rFonts w:eastAsia="Times New Roman" w:cs="Times New Roman"/>
      <w:b/>
      <w:sz w:val="22"/>
      <w:szCs w:val="20"/>
      <w:lang w:val="en-GB" w:eastAsia="en-ZA"/>
    </w:rPr>
  </w:style>
  <w:style w:type="paragraph" w:customStyle="1" w:styleId="subsection">
    <w:name w:val="subsection"/>
    <w:basedOn w:val="Normal"/>
    <w:rsid w:val="00265B62"/>
    <w:pPr>
      <w:widowControl w:val="0"/>
      <w:spacing w:before="120"/>
      <w:ind w:firstLine="284"/>
      <w:jc w:val="both"/>
    </w:pPr>
    <w:rPr>
      <w:rFonts w:eastAsia="Times New Roman" w:cs="Times New Roman"/>
      <w:sz w:val="22"/>
      <w:szCs w:val="20"/>
      <w:lang w:val="en-GB" w:eastAsia="en-ZA"/>
    </w:rPr>
  </w:style>
  <w:style w:type="paragraph" w:customStyle="1" w:styleId="headpart">
    <w:name w:val="head_part"/>
    <w:basedOn w:val="Normal"/>
    <w:rsid w:val="00265B62"/>
    <w:pPr>
      <w:widowControl w:val="0"/>
      <w:spacing w:before="360"/>
      <w:jc w:val="center"/>
    </w:pPr>
    <w:rPr>
      <w:rFonts w:eastAsia="Times New Roman" w:cs="Times New Roman"/>
      <w:b/>
      <w:sz w:val="22"/>
      <w:szCs w:val="20"/>
      <w:lang w:val="en-GB" w:eastAsia="en-ZA"/>
    </w:rPr>
  </w:style>
  <w:style w:type="paragraph" w:customStyle="1" w:styleId="continued">
    <w:name w:val="continued"/>
    <w:basedOn w:val="Normal"/>
    <w:rsid w:val="00D66EF8"/>
    <w:pPr>
      <w:widowControl w:val="0"/>
      <w:spacing w:before="120"/>
      <w:jc w:val="both"/>
    </w:pPr>
    <w:rPr>
      <w:rFonts w:eastAsia="Times New Roman" w:cs="Times New Roman"/>
      <w:sz w:val="22"/>
      <w:szCs w:val="20"/>
      <w:lang w:val="en-GB" w:eastAsia="en-ZA"/>
    </w:rPr>
  </w:style>
  <w:style w:type="paragraph" w:styleId="BalloonText">
    <w:name w:val="Balloon Text"/>
    <w:basedOn w:val="Normal"/>
    <w:link w:val="BalloonTextChar"/>
    <w:uiPriority w:val="99"/>
    <w:semiHidden/>
    <w:unhideWhenUsed/>
    <w:rsid w:val="00D66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EF8"/>
    <w:rPr>
      <w:rFonts w:ascii="Segoe UI" w:hAnsi="Segoe UI" w:cs="Segoe UI"/>
      <w:sz w:val="18"/>
      <w:szCs w:val="18"/>
      <w:lang w:val="en-ZA"/>
    </w:rPr>
  </w:style>
  <w:style w:type="paragraph" w:customStyle="1" w:styleId="paranotlist">
    <w:name w:val="para_notlist"/>
    <w:basedOn w:val="Normal"/>
    <w:rsid w:val="000600B8"/>
    <w:pPr>
      <w:widowControl w:val="0"/>
      <w:spacing w:before="120"/>
      <w:ind w:firstLine="567"/>
      <w:jc w:val="both"/>
    </w:pPr>
    <w:rPr>
      <w:rFonts w:eastAsia="Times New Roman" w:cs="Times New Roman"/>
      <w:sz w:val="22"/>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6C0C27-7493-47D6-B976-7DD5C276EF57}"/>
</file>

<file path=customXml/itemProps2.xml><?xml version="1.0" encoding="utf-8"?>
<ds:datastoreItem xmlns:ds="http://schemas.openxmlformats.org/officeDocument/2006/customXml" ds:itemID="{E877BD67-6A6E-4073-AE68-DA7AD7C3D39D}"/>
</file>

<file path=customXml/itemProps3.xml><?xml version="1.0" encoding="utf-8"?>
<ds:datastoreItem xmlns:ds="http://schemas.openxmlformats.org/officeDocument/2006/customXml" ds:itemID="{69DA9E8D-0803-4702-AD6A-A5C8465716DA}"/>
</file>

<file path=docProps/app.xml><?xml version="1.0" encoding="utf-8"?>
<Properties xmlns="http://schemas.openxmlformats.org/officeDocument/2006/extended-properties" xmlns:vt="http://schemas.openxmlformats.org/officeDocument/2006/docPropsVTypes">
  <Template>Normal</Template>
  <TotalTime>0</TotalTime>
  <Pages>8</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2020-09-08T08:12:00Z</dcterms:created>
  <dcterms:modified xsi:type="dcterms:W3CDTF">2020-09-08T12:56:00Z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